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C3D68">
      <w:pPr>
        <w:keepNext w:val="0"/>
        <w:keepLines w:val="0"/>
        <w:pageBreakBefore w:val="0"/>
        <w:widowControl w:val="0"/>
        <w:kinsoku/>
        <w:wordWrap/>
        <w:overflowPunct/>
        <w:topLinePunct w:val="0"/>
        <w:autoSpaceDE/>
        <w:autoSpaceDN/>
        <w:bidi w:val="0"/>
        <w:adjustRightInd/>
        <w:snapToGrid/>
        <w:spacing w:line="420" w:lineRule="exact"/>
        <w:ind w:firstLine="649" w:firstLineChars="202"/>
        <w:jc w:val="center"/>
        <w:textAlignment w:val="auto"/>
        <w:rPr>
          <w:rFonts w:hint="default" w:ascii="宋体" w:hAnsi="宋体" w:eastAsia="宋体" w:cs="宋体"/>
          <w:b/>
          <w:bCs/>
          <w:color w:val="auto"/>
          <w:szCs w:val="21"/>
          <w:highlight w:val="none"/>
          <w:lang w:val="en-US" w:eastAsia="zh-CN"/>
        </w:rPr>
      </w:pPr>
      <w:r>
        <w:rPr>
          <w:rFonts w:hint="eastAsia" w:hAnsi="宋体"/>
          <w:b/>
          <w:color w:val="auto"/>
          <w:sz w:val="32"/>
          <w:szCs w:val="32"/>
          <w:highlight w:val="none"/>
        </w:rPr>
        <w:t>项目需求</w:t>
      </w:r>
      <w:bookmarkStart w:id="0" w:name="_GoBack"/>
      <w:bookmarkEnd w:id="0"/>
    </w:p>
    <w:tbl>
      <w:tblPr>
        <w:tblStyle w:val="9"/>
        <w:tblW w:w="10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1"/>
        <w:gridCol w:w="677"/>
        <w:gridCol w:w="553"/>
        <w:gridCol w:w="440"/>
        <w:gridCol w:w="885"/>
        <w:gridCol w:w="5175"/>
        <w:gridCol w:w="2460"/>
      </w:tblGrid>
      <w:tr w14:paraId="32392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61" w:type="dxa"/>
            <w:vMerge w:val="restart"/>
            <w:tcBorders>
              <w:right w:val="single" w:color="auto" w:sz="4" w:space="0"/>
            </w:tcBorders>
            <w:noWrap w:val="0"/>
            <w:vAlign w:val="center"/>
          </w:tcPr>
          <w:p w14:paraId="754683C8">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p>
          <w:p w14:paraId="648549AF">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需求一览表   </w:t>
            </w:r>
          </w:p>
          <w:p w14:paraId="4270E70C">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w:t>
            </w:r>
          </w:p>
        </w:tc>
        <w:tc>
          <w:tcPr>
            <w:tcW w:w="677" w:type="dxa"/>
            <w:tcBorders>
              <w:left w:val="single" w:color="auto" w:sz="4" w:space="0"/>
            </w:tcBorders>
            <w:noWrap w:val="0"/>
            <w:vAlign w:val="center"/>
          </w:tcPr>
          <w:p w14:paraId="50F6C72C">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序号</w:t>
            </w:r>
          </w:p>
        </w:tc>
        <w:tc>
          <w:tcPr>
            <w:tcW w:w="993" w:type="dxa"/>
            <w:gridSpan w:val="2"/>
            <w:tcBorders>
              <w:right w:val="single" w:color="auto" w:sz="4" w:space="0"/>
            </w:tcBorders>
            <w:noWrap w:val="0"/>
            <w:vAlign w:val="center"/>
          </w:tcPr>
          <w:p w14:paraId="7B5588EF">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rPr>
            </w:pPr>
            <w:r>
              <w:rPr>
                <w:rFonts w:hint="eastAsia" w:ascii="宋体" w:hAnsi="宋体"/>
                <w:color w:val="auto"/>
                <w:szCs w:val="21"/>
                <w:highlight w:val="none"/>
              </w:rPr>
              <w:t>标的名称</w:t>
            </w:r>
            <w:r>
              <w:rPr>
                <w:rFonts w:hint="eastAsia" w:ascii="宋体" w:hAnsi="宋体" w:cs="宋体"/>
                <w:color w:val="auto"/>
                <w:szCs w:val="21"/>
                <w:highlight w:val="none"/>
                <w:lang w:val="en-US" w:eastAsia="zh-CN"/>
              </w:rPr>
              <w:t xml:space="preserve">    </w:t>
            </w:r>
          </w:p>
        </w:tc>
        <w:tc>
          <w:tcPr>
            <w:tcW w:w="885" w:type="dxa"/>
            <w:tcBorders>
              <w:left w:val="single" w:color="auto" w:sz="4" w:space="0"/>
            </w:tcBorders>
            <w:noWrap w:val="0"/>
            <w:vAlign w:val="center"/>
          </w:tcPr>
          <w:p w14:paraId="7F5BCC0E">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eastAsia="zh-CN"/>
              </w:rPr>
              <w:t>数量及</w:t>
            </w:r>
            <w:r>
              <w:rPr>
                <w:rFonts w:hint="eastAsia" w:ascii="宋体" w:hAnsi="宋体" w:eastAsia="宋体" w:cs="宋体"/>
                <w:color w:val="auto"/>
                <w:sz w:val="21"/>
                <w:szCs w:val="21"/>
                <w:highlight w:val="none"/>
              </w:rPr>
              <w:t>单位</w:t>
            </w:r>
          </w:p>
        </w:tc>
        <w:tc>
          <w:tcPr>
            <w:tcW w:w="5175" w:type="dxa"/>
            <w:tcBorders>
              <w:right w:val="single" w:color="auto" w:sz="4" w:space="0"/>
            </w:tcBorders>
            <w:noWrap w:val="0"/>
            <w:vAlign w:val="center"/>
          </w:tcPr>
          <w:p w14:paraId="41EE7EC6">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技术需求</w:t>
            </w:r>
          </w:p>
        </w:tc>
        <w:tc>
          <w:tcPr>
            <w:tcW w:w="2460" w:type="dxa"/>
            <w:tcBorders>
              <w:left w:val="single" w:color="auto" w:sz="4" w:space="0"/>
            </w:tcBorders>
            <w:noWrap w:val="0"/>
            <w:vAlign w:val="center"/>
          </w:tcPr>
          <w:p w14:paraId="6275972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产品</w:t>
            </w:r>
          </w:p>
          <w:p w14:paraId="52FD40E7">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类别</w:t>
            </w:r>
          </w:p>
        </w:tc>
      </w:tr>
      <w:tr w14:paraId="20CF1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0" w:hRule="atLeast"/>
          <w:jc w:val="center"/>
        </w:trPr>
        <w:tc>
          <w:tcPr>
            <w:tcW w:w="361" w:type="dxa"/>
            <w:vMerge w:val="continue"/>
            <w:tcBorders>
              <w:right w:val="single" w:color="auto" w:sz="4" w:space="0"/>
            </w:tcBorders>
            <w:noWrap w:val="0"/>
            <w:vAlign w:val="center"/>
          </w:tcPr>
          <w:p w14:paraId="19963809">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p>
        </w:tc>
        <w:tc>
          <w:tcPr>
            <w:tcW w:w="677" w:type="dxa"/>
            <w:tcBorders>
              <w:left w:val="single" w:color="auto" w:sz="4" w:space="0"/>
            </w:tcBorders>
            <w:noWrap w:val="0"/>
            <w:vAlign w:val="center"/>
          </w:tcPr>
          <w:p w14:paraId="2721F4AB">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993" w:type="dxa"/>
            <w:gridSpan w:val="2"/>
            <w:tcBorders>
              <w:right w:val="single" w:color="auto" w:sz="4" w:space="0"/>
            </w:tcBorders>
            <w:noWrap w:val="0"/>
            <w:vAlign w:val="center"/>
          </w:tcPr>
          <w:p w14:paraId="3ABC9A70">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经颅磁刺激仪</w:t>
            </w:r>
          </w:p>
        </w:tc>
        <w:tc>
          <w:tcPr>
            <w:tcW w:w="885" w:type="dxa"/>
            <w:tcBorders>
              <w:left w:val="single" w:color="auto" w:sz="4" w:space="0"/>
            </w:tcBorders>
            <w:noWrap w:val="0"/>
            <w:vAlign w:val="center"/>
          </w:tcPr>
          <w:p w14:paraId="40241660">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1台</w:t>
            </w:r>
          </w:p>
        </w:tc>
        <w:tc>
          <w:tcPr>
            <w:tcW w:w="5175" w:type="dxa"/>
            <w:tcBorders>
              <w:right w:val="single" w:color="auto" w:sz="4" w:space="0"/>
            </w:tcBorders>
            <w:noWrap w:val="0"/>
            <w:vAlign w:val="center"/>
          </w:tcPr>
          <w:p w14:paraId="7BA8FEB6">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一、资质及产品适用范围要求</w:t>
            </w:r>
          </w:p>
          <w:p w14:paraId="199FF4FC">
            <w:pPr>
              <w:pStyle w:val="5"/>
              <w:keepNext w:val="0"/>
              <w:keepLines w:val="0"/>
              <w:pageBreakBefore w:val="0"/>
              <w:kinsoku/>
              <w:wordWrap/>
              <w:overflowPunct/>
              <w:topLinePunct w:val="0"/>
              <w:autoSpaceDE/>
              <w:autoSpaceDN/>
              <w:bidi w:val="0"/>
              <w:adjustRightInd/>
              <w:spacing w:line="34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竞标产品必须获得CFDA批准，且适用范围应满足“用于人体中枢神经和外周神经功能的检测、评定及治疗”，仅用于功能评定或治疗研究的不适用于本次采购。</w:t>
            </w:r>
          </w:p>
          <w:p w14:paraId="570914A5">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二、主要技术参数要求</w:t>
            </w:r>
          </w:p>
          <w:p w14:paraId="5CA81417">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刺激发生器（主机）</w:t>
            </w:r>
          </w:p>
          <w:p w14:paraId="4A07F007">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color w:val="auto"/>
                <w:sz w:val="21"/>
                <w:szCs w:val="21"/>
                <w:highlight w:val="none"/>
                <w:lang w:val="en-US" w:eastAsia="zh-CN"/>
              </w:rPr>
              <w:t>1.1 主机面板配置独立嵌入式不小于7寸彩色液晶屏（非电脑显示器），可实时显示患者信息、工作状态、刺激方案参数及刺激点位相关定位信息。</w:t>
            </w:r>
          </w:p>
          <w:p w14:paraId="67F192D0">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b w:val="0"/>
                <w:bCs w:val="0"/>
                <w:color w:val="auto"/>
                <w:szCs w:val="21"/>
                <w:highlight w:val="none"/>
                <w:lang w:val="en-US" w:eastAsia="zh-CN"/>
              </w:rPr>
              <w:t>1.2</w:t>
            </w:r>
            <w:r>
              <w:rPr>
                <w:rFonts w:hint="eastAsia" w:ascii="宋体" w:hAnsi="宋体" w:eastAsia="宋体" w:cs="宋体"/>
                <w:color w:val="auto"/>
                <w:sz w:val="21"/>
                <w:szCs w:val="21"/>
                <w:highlight w:val="none"/>
                <w:lang w:val="en-US" w:eastAsia="zh-CN"/>
              </w:rPr>
              <w:t>最大刺激频率：50Hz，0Hz～50Hz可调。</w:t>
            </w:r>
          </w:p>
          <w:p w14:paraId="1BE56AA7">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1.3刺激频率调节：脉冲频率在1Hz以下时调节步长为≤0.1Hz，超过1Hz时步长为≤1Hz，调节精度满足临床治疗需求。</w:t>
            </w:r>
          </w:p>
          <w:p w14:paraId="332D02B1">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1.4内置USB接口，可连接U盘、移动硬盘等存储设备备份数据，支持热插拔。</w:t>
            </w:r>
          </w:p>
          <w:p w14:paraId="76B32EC0">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color w:val="auto"/>
                <w:sz w:val="21"/>
                <w:szCs w:val="21"/>
                <w:highlight w:val="none"/>
                <w:lang w:val="en-US" w:eastAsia="zh-CN"/>
              </w:rPr>
              <w:t>1.5嵌入式交互系统：支持脱离电脑管理系统独立操作；可直接通过主机面板组件（按键/触屏）快速选择预置治疗处方；并可调节刺激强度、频率、刺激时间、间歇时间、治疗时间等参数。</w:t>
            </w:r>
          </w:p>
          <w:p w14:paraId="58A4A317">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color w:val="auto"/>
                <w:sz w:val="21"/>
                <w:szCs w:val="21"/>
                <w:highlight w:val="none"/>
                <w:lang w:val="en-US" w:eastAsia="zh-CN"/>
              </w:rPr>
              <w:t>1.6主机与线圈连接采用插拔式设计，无需拆机即可更换线圈，且主机兼容液冷、自然冷、风冷三种不同类型线圈。</w:t>
            </w:r>
          </w:p>
          <w:p w14:paraId="79694BD8">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1.7数据库管理功能，包含治疗处方管理，治疗记录管理，并可快速调取历史刺激记录，直接启动刺激。</w:t>
            </w:r>
          </w:p>
          <w:p w14:paraId="649BAF96">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1.8支持个性化数据加密功能，保护病人隐私、处方信息、治疗记录等。</w:t>
            </w:r>
          </w:p>
          <w:p w14:paraId="2A34CE07">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1.9具备TTL触发接口：可兼容国内外主流的EMG、EEG等设备。</w:t>
            </w:r>
          </w:p>
          <w:p w14:paraId="1CDA7379">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2、人机交互系统</w:t>
            </w:r>
          </w:p>
          <w:p w14:paraId="46F424E8">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b w:val="0"/>
                <w:bCs w:val="0"/>
                <w:color w:val="auto"/>
                <w:szCs w:val="21"/>
                <w:highlight w:val="none"/>
                <w:lang w:val="en-US" w:eastAsia="zh-CN"/>
              </w:rPr>
              <w:t>2.1</w:t>
            </w:r>
            <w:r>
              <w:rPr>
                <w:rFonts w:hint="eastAsia" w:ascii="宋体" w:hAnsi="宋体" w:eastAsia="宋体" w:cs="宋体"/>
                <w:color w:val="auto"/>
                <w:sz w:val="21"/>
                <w:szCs w:val="21"/>
                <w:highlight w:val="none"/>
                <w:lang w:val="en-US" w:eastAsia="zh-CN"/>
              </w:rPr>
              <w:t>双交互系统：PC端中央控制系统及嵌入式交互系统，各系统皆可单独控制整机运行。</w:t>
            </w:r>
          </w:p>
          <w:p w14:paraId="15F49F3E">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 PC端中央控制系统：支持一对多远程控制，可控制不少于200台刺激器同时工作</w:t>
            </w:r>
            <w:r>
              <w:rPr>
                <w:rFonts w:hint="eastAsia" w:ascii="宋体" w:hAnsi="宋体" w:eastAsia="宋体" w:cs="宋体"/>
                <w:color w:val="auto"/>
                <w:sz w:val="21"/>
                <w:szCs w:val="21"/>
                <w:highlight w:val="none"/>
                <w:lang w:val="en-US" w:eastAsia="zh-CN"/>
              </w:rPr>
              <w:t>。</w:t>
            </w:r>
          </w:p>
          <w:p w14:paraId="5B6C6EC5">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2.3支持多种刺激模式包括：单脉冲刺激模式，重复脉冲刺激模式，爆发刺激模式，成对脉冲刺激模式，各模式可自由调整。</w:t>
            </w:r>
          </w:p>
          <w:p w14:paraId="5CE49D18">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b w:val="0"/>
                <w:bCs w:val="0"/>
                <w:color w:val="auto"/>
                <w:szCs w:val="21"/>
                <w:highlight w:val="none"/>
                <w:lang w:val="en-US" w:eastAsia="zh-CN"/>
              </w:rPr>
              <w:t>2.4</w:t>
            </w:r>
            <w:r>
              <w:rPr>
                <w:rFonts w:hint="eastAsia" w:ascii="宋体" w:hAnsi="宋体" w:eastAsia="宋体" w:cs="宋体"/>
                <w:color w:val="auto"/>
                <w:sz w:val="21"/>
                <w:szCs w:val="21"/>
                <w:highlight w:val="none"/>
                <w:lang w:val="en-US" w:eastAsia="zh-CN"/>
              </w:rPr>
              <w:t>系统预置的治疗方案附带文字描述</w:t>
            </w:r>
            <w:r>
              <w:rPr>
                <w:rFonts w:hint="eastAsia" w:ascii="宋体" w:hAnsi="宋体" w:eastAsia="宋体" w:cs="宋体"/>
                <w:color w:val="auto"/>
                <w:sz w:val="21"/>
                <w:szCs w:val="21"/>
                <w:highlight w:val="none"/>
                <w:lang w:val="en-US" w:eastAsia="zh-CN"/>
              </w:rPr>
              <w:t>需包含大脑解剖定位指示图，</w:t>
            </w:r>
            <w:r>
              <w:rPr>
                <w:rFonts w:ascii="宋体" w:hAnsi="宋体" w:eastAsia="宋体" w:cs="宋体"/>
                <w:color w:val="auto"/>
                <w:kern w:val="0"/>
                <w:sz w:val="24"/>
                <w:szCs w:val="24"/>
                <w:highlight w:val="none"/>
                <w:lang w:val="en-US" w:eastAsia="zh-CN" w:bidi="ar"/>
              </w:rPr>
              <w:t>可</w:t>
            </w:r>
            <w:r>
              <w:rPr>
                <w:rFonts w:hint="eastAsia" w:ascii="宋体" w:hAnsi="宋体" w:eastAsia="宋体" w:cs="宋体"/>
                <w:color w:val="auto"/>
                <w:sz w:val="21"/>
                <w:szCs w:val="21"/>
                <w:highlight w:val="none"/>
                <w:lang w:val="en-US" w:eastAsia="zh-CN"/>
              </w:rPr>
              <w:t>辅助操作人员精准定位刺激部位。</w:t>
            </w:r>
          </w:p>
          <w:p w14:paraId="4C031E0B">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2.5可进行刺激参数的选择设置，设置刺激模式、刺激频率、刺激强度、刺激时间、串间歇时间等。</w:t>
            </w:r>
          </w:p>
          <w:p w14:paraId="4881842A">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2.6开始刺激前0-10s延时可调，并同步声音提醒，便于医生和病人做好刺激准备，缓解病人紧张情绪。</w:t>
            </w:r>
          </w:p>
          <w:p w14:paraId="2D807E4F">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2.7脉冲可设置强度递增式释放功能，强度调节范围覆盖临床治疗常用区间（0-200% MT），满足不同患者治疗需求。</w:t>
            </w:r>
          </w:p>
          <w:p w14:paraId="5BE15B5D">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2.8可根据需要设置串刺激间隔时间提醒，在下一组脉冲释放前0-10s可调，并声音提醒病人和医生，准备好下一组治疗。</w:t>
            </w:r>
          </w:p>
          <w:p w14:paraId="317DBBC7">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2.9报告输出方式：自动化输出报告，也可根据需求自定义编辑报告模板。</w:t>
            </w:r>
          </w:p>
          <w:p w14:paraId="1BFF540E">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2.10具备HIS接入功能，直接调用HIS的患者信息；便于医生工作和保留完整的数据。</w:t>
            </w:r>
          </w:p>
          <w:p w14:paraId="0E280A52">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3、冷却系统</w:t>
            </w:r>
          </w:p>
          <w:p w14:paraId="69B37FBB">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3.1独立冷却系统模块：智能液态循环冷却技术，非风冷。</w:t>
            </w:r>
          </w:p>
          <w:p w14:paraId="1CCAA82C">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color w:val="auto"/>
                <w:sz w:val="21"/>
                <w:szCs w:val="21"/>
                <w:highlight w:val="none"/>
                <w:lang w:val="en-US" w:eastAsia="zh-CN"/>
              </w:rPr>
              <w:t>3.2液态冷却系统模块配备独立嵌入式液晶屏（非电脑显示器），显示信息包括：线圈温度、液体总量和液体循环状态。</w:t>
            </w:r>
          </w:p>
          <w:p w14:paraId="05664AFB">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4、刺激线圈</w:t>
            </w:r>
          </w:p>
          <w:p w14:paraId="17DEEF21">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4.1磁刺激设备最大磁感应强度应不小于1T。</w:t>
            </w:r>
          </w:p>
          <w:p w14:paraId="2C28FFE3">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color w:val="auto"/>
                <w:sz w:val="21"/>
                <w:szCs w:val="21"/>
                <w:highlight w:val="none"/>
                <w:lang w:val="en-US" w:eastAsia="zh-CN"/>
              </w:rPr>
              <w:t>4.2刺激线圈治疗端自带嵌入式显示屏，可显示实时温度和强度，并配有强度调节装置可单手调节强度大小，快速检测运动阈值。</w:t>
            </w:r>
          </w:p>
          <w:p w14:paraId="06EEC95B">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color w:val="auto"/>
                <w:sz w:val="21"/>
                <w:szCs w:val="21"/>
                <w:highlight w:val="none"/>
                <w:lang w:val="en-US" w:eastAsia="zh-CN"/>
              </w:rPr>
              <w:t>4.3刺激线圈连接端自带嵌入式显示屏，可显示脉冲输出计数，客观评估线圈使用寿命。</w:t>
            </w:r>
          </w:p>
          <w:p w14:paraId="27DC87E0">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4.4磁感应强度最大变化率：10～50KT/s</w:t>
            </w:r>
          </w:p>
          <w:p w14:paraId="66ED5A39">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4.5脉冲上升时间：40～120μs</w:t>
            </w:r>
          </w:p>
          <w:p w14:paraId="031A6C86">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4.6双向波单边脉冲宽度：100～200μs</w:t>
            </w:r>
          </w:p>
          <w:p w14:paraId="6DA1632C">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4.7刺激线圈表面温度≤41℃，当线圈表面温度达到41°时系统将会自动停机并过热报警。</w:t>
            </w:r>
          </w:p>
          <w:p w14:paraId="1BD5FABE">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5、推车及支臂</w:t>
            </w:r>
          </w:p>
          <w:p w14:paraId="345AC5D4">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5.1专用推车。</w:t>
            </w:r>
          </w:p>
          <w:p w14:paraId="466FF132">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5.2万向可调节线圈固定支臂， 360度旋转调节高度可调，长度≥1米。</w:t>
            </w:r>
          </w:p>
          <w:p w14:paraId="73F74A27">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5.3支臂可固定于推车左/右两侧，方便推到床旁治疗。</w:t>
            </w:r>
          </w:p>
          <w:p w14:paraId="249CF165">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三、主要配置</w:t>
            </w:r>
          </w:p>
          <w:p w14:paraId="346D9C48">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1、刺激发生器（主机）     1台</w:t>
            </w:r>
          </w:p>
          <w:p w14:paraId="44297A27">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2、液态冷却系统           1台</w:t>
            </w:r>
          </w:p>
          <w:p w14:paraId="04AAAE41">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3、儿童专用刺激线圈       1个</w:t>
            </w:r>
          </w:p>
          <w:p w14:paraId="5C4DBA46">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4、刺激线圈支架           1副</w:t>
            </w:r>
          </w:p>
          <w:p w14:paraId="067E2C09">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5、一体式电脑（含软件）   1套</w:t>
            </w:r>
          </w:p>
          <w:p w14:paraId="122D1A45">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6、专用推车               1台</w:t>
            </w:r>
          </w:p>
          <w:p w14:paraId="56C9AE15">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7、说明书                 1套</w:t>
            </w:r>
          </w:p>
          <w:p w14:paraId="7E398AEA">
            <w:pPr>
              <w:pStyle w:val="5"/>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8、电动坐椅               1台</w:t>
            </w:r>
          </w:p>
          <w:p w14:paraId="6C7733CA">
            <w:pPr>
              <w:pStyle w:val="5"/>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b/>
                <w:bCs/>
                <w:color w:val="auto"/>
                <w:sz w:val="21"/>
                <w:szCs w:val="21"/>
                <w:highlight w:val="none"/>
                <w:lang w:val="en-US" w:eastAsia="zh-CN"/>
              </w:rPr>
              <w:t>本项目采购标的为</w:t>
            </w:r>
            <w:r>
              <w:rPr>
                <w:rFonts w:hint="eastAsia" w:ascii="宋体" w:hAnsi="宋体" w:eastAsia="宋体" w:cs="宋体"/>
                <w:b/>
                <w:bCs/>
                <w:color w:val="auto"/>
                <w:szCs w:val="21"/>
                <w:highlight w:val="none"/>
                <w:lang w:val="en-US" w:eastAsia="zh-CN"/>
              </w:rPr>
              <w:t>第二</w:t>
            </w:r>
            <w:r>
              <w:rPr>
                <w:rFonts w:hint="default" w:ascii="宋体" w:hAnsi="宋体" w:eastAsia="宋体" w:cs="宋体"/>
                <w:b/>
                <w:bCs/>
                <w:color w:val="auto"/>
                <w:highlight w:val="none"/>
                <w:lang w:val="en-US" w:eastAsia="zh-CN"/>
              </w:rPr>
              <w:t>类</w:t>
            </w:r>
            <w:r>
              <w:rPr>
                <w:rFonts w:hint="eastAsia" w:ascii="宋体" w:hAnsi="宋体" w:eastAsia="宋体" w:cs="宋体"/>
                <w:b/>
                <w:bCs/>
                <w:color w:val="auto"/>
                <w:szCs w:val="21"/>
                <w:highlight w:val="none"/>
                <w:lang w:val="en-US" w:eastAsia="zh-CN"/>
              </w:rPr>
              <w:t>医疗器械，须在首次响应文件中提供产品的有效的医疗器械注册证复印件，</w:t>
            </w:r>
            <w:r>
              <w:rPr>
                <w:rFonts w:hint="eastAsia" w:ascii="宋体" w:hAnsi="宋体" w:eastAsia="宋体" w:cs="宋体"/>
                <w:b/>
                <w:bCs/>
                <w:color w:val="auto"/>
                <w:sz w:val="21"/>
                <w:szCs w:val="21"/>
                <w:highlight w:val="none"/>
              </w:rPr>
              <w:t>否则响应文件按无效响应处理</w:t>
            </w:r>
            <w:r>
              <w:rPr>
                <w:rFonts w:hint="eastAsia" w:ascii="宋体" w:hAnsi="宋体" w:eastAsia="宋体" w:cs="宋体"/>
                <w:b/>
                <w:bCs/>
                <w:color w:val="auto"/>
                <w:sz w:val="21"/>
                <w:szCs w:val="21"/>
                <w:highlight w:val="none"/>
                <w:lang w:eastAsia="zh-CN"/>
              </w:rPr>
              <w:t>。</w:t>
            </w:r>
          </w:p>
        </w:tc>
        <w:tc>
          <w:tcPr>
            <w:tcW w:w="2460" w:type="dxa"/>
            <w:tcBorders>
              <w:left w:val="single" w:color="auto" w:sz="4" w:space="0"/>
            </w:tcBorders>
            <w:noWrap w:val="0"/>
            <w:vAlign w:val="center"/>
          </w:tcPr>
          <w:p w14:paraId="3491E2B1">
            <w:pPr>
              <w:keepNext w:val="0"/>
              <w:keepLines w:val="0"/>
              <w:pageBreakBefore w:val="0"/>
              <w:numPr>
                <w:ilvl w:val="0"/>
                <w:numId w:val="0"/>
              </w:numPr>
              <w:kinsoku/>
              <w:wordWrap/>
              <w:overflowPunct/>
              <w:topLinePunct w:val="0"/>
              <w:autoSpaceDE/>
              <w:autoSpaceDN/>
              <w:bidi w:val="0"/>
              <w:adjustRightInd/>
              <w:spacing w:line="340" w:lineRule="exact"/>
              <w:ind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Cs w:val="21"/>
                <w:highlight w:val="none"/>
                <w:lang w:val="en-US" w:eastAsia="zh-CN"/>
              </w:rPr>
              <w:t>第二</w:t>
            </w:r>
            <w:r>
              <w:rPr>
                <w:rFonts w:hint="default" w:ascii="宋体" w:hAnsi="宋体" w:eastAsia="宋体" w:cs="宋体"/>
                <w:color w:val="auto"/>
                <w:highlight w:val="none"/>
                <w:lang w:val="en-US" w:eastAsia="zh-CN"/>
              </w:rPr>
              <w:t>类</w:t>
            </w:r>
            <w:r>
              <w:rPr>
                <w:rFonts w:hint="eastAsia" w:ascii="宋体" w:hAnsi="宋体" w:eastAsia="宋体" w:cs="宋体"/>
                <w:b w:val="0"/>
                <w:bCs w:val="0"/>
                <w:color w:val="auto"/>
                <w:szCs w:val="21"/>
                <w:highlight w:val="none"/>
                <w:lang w:val="en-US" w:eastAsia="zh-CN"/>
              </w:rPr>
              <w:t>医疗器械</w:t>
            </w:r>
          </w:p>
        </w:tc>
      </w:tr>
      <w:tr w14:paraId="33D5B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361" w:type="dxa"/>
            <w:tcBorders>
              <w:right w:val="single" w:color="auto" w:sz="4" w:space="0"/>
            </w:tcBorders>
            <w:noWrap w:val="0"/>
            <w:vAlign w:val="center"/>
          </w:tcPr>
          <w:p w14:paraId="7586002F">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lang w:val="en-US" w:eastAsia="zh-CN"/>
              </w:rPr>
              <w:t>商务条款</w:t>
            </w:r>
          </w:p>
          <w:p w14:paraId="010E67D8">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p>
        </w:tc>
        <w:tc>
          <w:tcPr>
            <w:tcW w:w="1230" w:type="dxa"/>
            <w:gridSpan w:val="2"/>
            <w:tcBorders>
              <w:left w:val="single" w:color="auto" w:sz="4" w:space="0"/>
            </w:tcBorders>
            <w:noWrap w:val="0"/>
            <w:vAlign w:val="center"/>
          </w:tcPr>
          <w:p w14:paraId="6066BFF5">
            <w:pPr>
              <w:keepNext w:val="0"/>
              <w:keepLines w:val="0"/>
              <w:pageBreakBefore w:val="0"/>
              <w:numPr>
                <w:ilvl w:val="0"/>
                <w:numId w:val="0"/>
              </w:numPr>
              <w:kinsoku/>
              <w:wordWrap/>
              <w:overflowPunct/>
              <w:topLinePunct w:val="0"/>
              <w:autoSpaceDE/>
              <w:autoSpaceDN/>
              <w:bidi w:val="0"/>
              <w:adjustRightInd/>
              <w:spacing w:line="340" w:lineRule="exact"/>
              <w:ind w:leftChars="0"/>
              <w:jc w:val="both"/>
              <w:textAlignment w:val="auto"/>
              <w:rPr>
                <w:rFonts w:hint="eastAsia" w:ascii="宋体" w:hAnsi="宋体" w:eastAsia="宋体" w:cs="宋体"/>
                <w:b/>
                <w:bCs/>
                <w:color w:val="auto"/>
                <w:szCs w:val="21"/>
                <w:highlight w:val="none"/>
                <w:lang w:val="en-US" w:eastAsia="zh-CN"/>
              </w:rPr>
            </w:pPr>
          </w:p>
        </w:tc>
        <w:tc>
          <w:tcPr>
            <w:tcW w:w="8960" w:type="dxa"/>
            <w:gridSpan w:val="4"/>
            <w:tcBorders>
              <w:left w:val="single" w:color="auto" w:sz="4" w:space="0"/>
            </w:tcBorders>
            <w:noWrap w:val="0"/>
            <w:vAlign w:val="center"/>
          </w:tcPr>
          <w:p w14:paraId="573600F3">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一</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售后服务要求</w:t>
            </w:r>
            <w:r>
              <w:rPr>
                <w:rFonts w:hint="eastAsia" w:ascii="宋体" w:hAnsi="宋体" w:cs="宋体"/>
                <w:b/>
                <w:bCs/>
                <w:color w:val="auto"/>
                <w:szCs w:val="21"/>
                <w:highlight w:val="none"/>
              </w:rPr>
              <w:t>:</w:t>
            </w:r>
          </w:p>
          <w:p w14:paraId="1E0F45B8">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sz w:val="21"/>
                <w:szCs w:val="21"/>
                <w:highlight w:val="none"/>
              </w:rPr>
              <w:t>质量保证期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rPr>
              <w:t>自货物验收合格之日起不少于2年，</w:t>
            </w:r>
            <w:r>
              <w:rPr>
                <w:rFonts w:hint="eastAsia" w:ascii="宋体" w:hAnsi="宋体" w:eastAsia="宋体" w:cs="宋体"/>
                <w:color w:val="auto"/>
                <w:sz w:val="21"/>
                <w:szCs w:val="21"/>
                <w:highlight w:val="none"/>
              </w:rPr>
              <w:t>各分项货物有质量保证期要求的按各分项要求执行，采购项目需求一览表中有特别要求的则以采购项目需求一览表为准。若产品生产厂家免费质保期超过此年限的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合同履约过程中按厂家规定执行。</w:t>
            </w:r>
          </w:p>
          <w:p w14:paraId="5D27A04C">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w:t>
            </w:r>
            <w:r>
              <w:rPr>
                <w:rFonts w:hint="eastAsia" w:ascii="宋体" w:hAnsi="宋体" w:cs="宋体"/>
                <w:b/>
                <w:bCs/>
                <w:color w:val="auto"/>
                <w:szCs w:val="21"/>
                <w:highlight w:val="none"/>
              </w:rPr>
              <w:t>配套（售后）服务</w:t>
            </w:r>
            <w:r>
              <w:rPr>
                <w:rFonts w:hint="eastAsia" w:ascii="宋体" w:hAnsi="宋体" w:eastAsia="宋体" w:cs="宋体"/>
                <w:b/>
                <w:bCs/>
                <w:color w:val="auto"/>
                <w:szCs w:val="21"/>
                <w:highlight w:val="none"/>
                <w:lang w:val="en-US" w:eastAsia="zh-CN"/>
              </w:rPr>
              <w:t>：</w:t>
            </w:r>
          </w:p>
          <w:p w14:paraId="51462044">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2.1按采购人要求免费送货至采购人指定的安装地点并安装调试，在交付货物时所提供货物必须是全新的、生产日期在半年内的产品，</w:t>
            </w:r>
            <w:r>
              <w:rPr>
                <w:rFonts w:hint="eastAsia" w:ascii="宋体" w:hAnsi="宋体" w:eastAsia="宋体" w:cs="宋体"/>
                <w:color w:val="auto"/>
                <w:szCs w:val="21"/>
                <w:highlight w:val="none"/>
                <w:lang w:val="en-US" w:eastAsia="zh-CN"/>
              </w:rPr>
              <w:t>其产品必须符合国家有关认证标准及安全规定，所有货物按国家有关规定执行“三包”，如出现质量问题按国内同类产品国家行业规定全免费上门包换或作退货处理，否则造成损失的按实际损失赔偿；</w:t>
            </w:r>
          </w:p>
          <w:p w14:paraId="35AEE73F">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在质量保证期内设备非因人为及不可抗拒因素的原因而引起损坏或质量问题，成交供应商应免费予以技术服务、维修或设备更换，并承担相应费用和零部件的费用，因人为因素出现的故障不在免费保修范围内，成交供应商也要积极帮助采购人修理，并提供优惠价格的配件和服务；</w:t>
            </w:r>
          </w:p>
          <w:p w14:paraId="77D9E8F0">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维修响应：在接到故障通知后2小时内作出响应，8小时内到达现场进行维修。对于应急维修服务时，将在6小时服务到位。全年24小时技术支持。在规定的时间不能维修正常使用时，必须提供同种效果的产品，供应商必须根据自己实际情况和能力应答，非因操作不当造成要更换的部件及产品由成交供应商负责包修、包换,更换部件及产品本身质量原因造成的直接经济损失全部费用由成交供应商承担；</w:t>
            </w:r>
          </w:p>
          <w:p w14:paraId="108FF3A2">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2.4知识产权保护要求：供应商应对询价内容所涉及的专利承担责任，并负责保护采购人的利益不受任何损害。一切由于文字、商标、技术和软件专利授权引起的法律裁决、诉讼和赔偿费用均由成交的竞标供应商负责；</w:t>
            </w:r>
          </w:p>
          <w:p w14:paraId="3C8D1CA0">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2.5成交供应商必须提供设备安装以及测试服务。应让采购人相关人员参与安装、检测和排除故障。成交供应商在安装、调试等全过程中接受用户的监督。</w:t>
            </w:r>
          </w:p>
          <w:p w14:paraId="2D5F89B9">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3.交付时间及地点：</w:t>
            </w:r>
          </w:p>
          <w:p w14:paraId="78C2B62D">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交付时间：自签订合同之日起30日（日历日）内完成全部供货安装调试，验收合格并交付正常使用；</w:t>
            </w:r>
          </w:p>
          <w:p w14:paraId="4CDCDA37">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交货地点：平果市妇幼保健院采购人指定地点。</w:t>
            </w:r>
          </w:p>
          <w:p w14:paraId="4C07C5F6">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bCs/>
                <w:color w:val="auto"/>
                <w:szCs w:val="21"/>
                <w:highlight w:val="none"/>
                <w:lang w:val="en-US" w:eastAsia="zh-CN"/>
              </w:rPr>
              <w:t>4.合同签订时间:</w:t>
            </w:r>
            <w:r>
              <w:rPr>
                <w:rFonts w:hint="eastAsia" w:ascii="宋体" w:hAnsi="宋体" w:eastAsia="宋体" w:cs="宋体"/>
                <w:color w:val="auto"/>
                <w:szCs w:val="21"/>
                <w:highlight w:val="none"/>
                <w:lang w:val="en-US" w:eastAsia="zh-CN"/>
              </w:rPr>
              <w:t xml:space="preserve"> 自成交通知书发出之日起 25日内；</w:t>
            </w:r>
          </w:p>
          <w:p w14:paraId="6DF15DFF">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5.付款方式：</w:t>
            </w:r>
          </w:p>
          <w:p w14:paraId="5E60DD16">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5.1本项目无预付款，双方签订合同后成交供应商将货物送到采购人指定的安装地点，并按采购人要求安装完成且验收合格后，成交供应商在15个工作日内开具合同款的全额发票给采购人，采购人在收到发票后三个月内向成交供应商支付合同总金额的20%，合同款的余款1.5年内付清。</w:t>
            </w:r>
          </w:p>
          <w:p w14:paraId="54C90108">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default"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5.2票据要求：成交供应商必须按照采购人要求提供合同款足额、真实、有效、合法的正式发票。一旦发现成交供应商提供虚假发票，除须向采购人补开合法发票外，须赔偿采购人发票票面金额一倍的违约金，且采购人有权终止合同，因终止合同而产生的一切损失均由成交供应商承担。</w:t>
            </w:r>
          </w:p>
          <w:p w14:paraId="269A3E9C">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cs="宋体"/>
                <w:b/>
                <w:bCs/>
                <w:color w:val="auto"/>
                <w:szCs w:val="21"/>
                <w:highlight w:val="none"/>
              </w:rPr>
            </w:pPr>
            <w:r>
              <w:rPr>
                <w:rFonts w:hint="eastAsia" w:ascii="宋体" w:hAnsi="宋体" w:cs="宋体"/>
                <w:color w:val="auto"/>
                <w:szCs w:val="21"/>
                <w:highlight w:val="none"/>
                <w:lang w:val="en-US" w:eastAsia="zh-CN"/>
              </w:rPr>
              <w:t>二、</w:t>
            </w:r>
            <w:r>
              <w:rPr>
                <w:rFonts w:hint="eastAsia" w:ascii="宋体" w:hAnsi="宋体" w:cs="宋体"/>
                <w:b/>
                <w:bCs/>
                <w:color w:val="auto"/>
                <w:szCs w:val="21"/>
                <w:highlight w:val="none"/>
              </w:rPr>
              <w:t>验收条件及标准：</w:t>
            </w:r>
          </w:p>
          <w:p w14:paraId="32C44553">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1.本项目采购设备为第二类医疗器械，在产品供货时，成交供应商必须提供有效的第二类医疗器械经营备案证明复印件，否则采购人不予以验收通过。（注：如成交供应商为符合国家现行《医疗器械监督管理条例》第四十三条规定的备案人的，则不需要提供经营备案证明。）</w:t>
            </w:r>
          </w:p>
          <w:p w14:paraId="019F9975">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所供货物必须是全新整套按国家或国际有关质量标准制造，且能满足本项目技术指标</w:t>
            </w:r>
            <w:r>
              <w:rPr>
                <w:rFonts w:hint="eastAsia" w:ascii="宋体" w:hAnsi="宋体" w:eastAsia="宋体" w:cs="宋体"/>
                <w:color w:val="auto"/>
                <w:szCs w:val="21"/>
                <w:highlight w:val="none"/>
                <w:lang w:eastAsia="zh-CN"/>
              </w:rPr>
              <w:t>；</w:t>
            </w:r>
          </w:p>
          <w:p w14:paraId="663E1E5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.验收时</w:t>
            </w:r>
            <w:r>
              <w:rPr>
                <w:rFonts w:hint="eastAsia" w:ascii="宋体" w:hAnsi="宋体" w:cs="宋体"/>
                <w:color w:val="auto"/>
                <w:szCs w:val="21"/>
                <w:highlight w:val="none"/>
                <w:lang w:val="en-US"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须提供完整应用中文操作说明书 、维修手册和详细技术参数手册及其它相关技术资料</w:t>
            </w:r>
            <w:r>
              <w:rPr>
                <w:rFonts w:hint="eastAsia" w:ascii="宋体" w:hAnsi="宋体" w:eastAsia="宋体" w:cs="宋体"/>
                <w:color w:val="auto"/>
                <w:szCs w:val="21"/>
                <w:highlight w:val="none"/>
                <w:lang w:eastAsia="zh-CN"/>
              </w:rPr>
              <w:t>；</w:t>
            </w:r>
          </w:p>
          <w:p w14:paraId="3F3C907B">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.验收工作由采购单位的技术人员以及设备使用科室负责人组成的小组与</w:t>
            </w:r>
            <w:r>
              <w:rPr>
                <w:rFonts w:hint="eastAsia" w:ascii="宋体" w:hAnsi="宋体" w:cs="宋体"/>
                <w:color w:val="auto"/>
                <w:szCs w:val="21"/>
                <w:highlight w:val="none"/>
                <w:lang w:val="en-US"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负责安装的技术人员严格按照国家质量验收规范合格标准及</w:t>
            </w:r>
            <w:r>
              <w:rPr>
                <w:rFonts w:hint="eastAsia" w:ascii="宋体" w:hAnsi="宋体" w:eastAsia="宋体" w:cs="宋体"/>
                <w:color w:val="auto"/>
                <w:szCs w:val="21"/>
                <w:highlight w:val="none"/>
                <w:lang w:val="en-US" w:eastAsia="zh-CN"/>
              </w:rPr>
              <w:t>本项目</w:t>
            </w:r>
            <w:r>
              <w:rPr>
                <w:rFonts w:hint="eastAsia" w:ascii="宋体" w:hAnsi="宋体" w:cs="宋体"/>
                <w:color w:val="auto"/>
                <w:szCs w:val="21"/>
                <w:highlight w:val="none"/>
              </w:rPr>
              <w:t>技术需求</w:t>
            </w:r>
            <w:r>
              <w:rPr>
                <w:rFonts w:hint="eastAsia" w:ascii="宋体" w:hAnsi="宋体" w:eastAsia="宋体" w:cs="宋体"/>
                <w:color w:val="auto"/>
                <w:szCs w:val="21"/>
                <w:highlight w:val="none"/>
              </w:rPr>
              <w:t>逐条进行验收</w:t>
            </w:r>
            <w:r>
              <w:rPr>
                <w:rFonts w:hint="eastAsia" w:ascii="宋体" w:hAnsi="宋体" w:eastAsia="宋体" w:cs="宋体"/>
                <w:color w:val="auto"/>
                <w:szCs w:val="21"/>
                <w:highlight w:val="none"/>
                <w:lang w:eastAsia="zh-CN"/>
              </w:rPr>
              <w:t>；</w:t>
            </w:r>
          </w:p>
          <w:p w14:paraId="6CCA48CC">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.验收应符合国家相关法规及合同的技术要求，同时也应符合生产厂商提供的技术资料中各项技术指标和参数要求，参数要求必须符合</w:t>
            </w:r>
            <w:r>
              <w:rPr>
                <w:rFonts w:hint="eastAsia" w:ascii="宋体" w:hAnsi="宋体" w:eastAsia="宋体" w:cs="宋体"/>
                <w:color w:val="auto"/>
                <w:szCs w:val="21"/>
                <w:highlight w:val="none"/>
                <w:lang w:val="en-US" w:eastAsia="zh-CN"/>
              </w:rPr>
              <w:t>本项目</w:t>
            </w:r>
            <w:r>
              <w:rPr>
                <w:rFonts w:hint="eastAsia" w:ascii="宋体" w:hAnsi="宋体" w:cs="宋体"/>
                <w:color w:val="auto"/>
                <w:szCs w:val="21"/>
                <w:highlight w:val="none"/>
              </w:rPr>
              <w:t>技术需求</w:t>
            </w:r>
            <w:r>
              <w:rPr>
                <w:rFonts w:hint="eastAsia" w:ascii="宋体" w:hAnsi="宋体" w:eastAsia="宋体" w:cs="宋体"/>
                <w:color w:val="auto"/>
                <w:szCs w:val="21"/>
                <w:highlight w:val="none"/>
              </w:rPr>
              <w:t>规定，</w:t>
            </w:r>
            <w:r>
              <w:rPr>
                <w:rFonts w:hint="eastAsia" w:ascii="宋体" w:hAnsi="宋体" w:eastAsia="宋体" w:cs="宋体"/>
                <w:color w:val="auto"/>
                <w:szCs w:val="21"/>
                <w:highlight w:val="none"/>
                <w:lang w:val="en-US" w:eastAsia="zh-CN"/>
              </w:rPr>
              <w:t>采购人在货物验收阶段发现货物的技术参数指标达不到本项目</w:t>
            </w:r>
            <w:r>
              <w:rPr>
                <w:rFonts w:hint="eastAsia" w:ascii="宋体" w:hAnsi="宋体" w:cs="宋体"/>
                <w:color w:val="auto"/>
                <w:szCs w:val="21"/>
                <w:highlight w:val="none"/>
              </w:rPr>
              <w:t>技术需求</w:t>
            </w:r>
            <w:r>
              <w:rPr>
                <w:rFonts w:hint="eastAsia" w:ascii="宋体" w:hAnsi="宋体" w:eastAsia="宋体" w:cs="宋体"/>
                <w:color w:val="auto"/>
                <w:szCs w:val="21"/>
                <w:highlight w:val="none"/>
                <w:lang w:val="en-US" w:eastAsia="zh-CN"/>
              </w:rPr>
              <w:t xml:space="preserve">要求的，属虚假应标行为，采购人将终止合同拒收货物，并追究成交供应商的违约责任，赔偿采购人因采购时间延长造成的经济等方面损失。视情况采购人可将违约情况上报采购单位监督管理部门； </w:t>
            </w:r>
          </w:p>
          <w:p w14:paraId="526E1C84">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.验收发现的问题，必须做好记录（文字或影像记录，文字记录必须采购单位与</w:t>
            </w:r>
            <w:r>
              <w:rPr>
                <w:rFonts w:hint="eastAsia" w:ascii="宋体" w:hAnsi="宋体" w:eastAsia="宋体" w:cs="宋体"/>
                <w:color w:val="auto"/>
                <w:szCs w:val="21"/>
                <w:highlight w:val="none"/>
                <w:lang w:val="en-US" w:eastAsia="zh-CN"/>
              </w:rPr>
              <w:t>成交供应商</w:t>
            </w:r>
            <w:r>
              <w:rPr>
                <w:rFonts w:hint="eastAsia" w:ascii="宋体" w:hAnsi="宋体" w:eastAsia="宋体" w:cs="宋体"/>
                <w:color w:val="auto"/>
                <w:szCs w:val="21"/>
                <w:highlight w:val="none"/>
              </w:rPr>
              <w:t>双方验收人员签字），并</w:t>
            </w:r>
            <w:r>
              <w:rPr>
                <w:rFonts w:hint="eastAsia" w:ascii="宋体" w:hAnsi="宋体" w:eastAsia="宋体" w:cs="宋体"/>
                <w:color w:val="auto"/>
                <w:szCs w:val="21"/>
                <w:highlight w:val="none"/>
                <w:lang w:val="en-US" w:eastAsia="zh-CN"/>
              </w:rPr>
              <w:t>由成交供应商</w:t>
            </w:r>
            <w:r>
              <w:rPr>
                <w:rFonts w:hint="eastAsia" w:ascii="宋体" w:hAnsi="宋体" w:eastAsia="宋体" w:cs="宋体"/>
                <w:color w:val="auto"/>
                <w:szCs w:val="21"/>
                <w:highlight w:val="none"/>
              </w:rPr>
              <w:t>负责解决直至验收不存在问题，保证整个设备安全、协调运行</w:t>
            </w:r>
            <w:r>
              <w:rPr>
                <w:rFonts w:hint="eastAsia" w:ascii="宋体" w:hAnsi="宋体" w:eastAsia="宋体" w:cs="宋体"/>
                <w:color w:val="auto"/>
                <w:szCs w:val="21"/>
                <w:highlight w:val="none"/>
                <w:lang w:eastAsia="zh-CN"/>
              </w:rPr>
              <w:t>；</w:t>
            </w:r>
          </w:p>
          <w:p w14:paraId="7C60A325">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.验收合格日期以最后验收完成项目为准，设备验收时间计算在供货期内，按合同相关规定执行，由于</w:t>
            </w:r>
            <w:r>
              <w:rPr>
                <w:rFonts w:hint="eastAsia" w:ascii="宋体" w:hAnsi="宋体" w:eastAsia="宋体" w:cs="宋体"/>
                <w:color w:val="auto"/>
                <w:szCs w:val="21"/>
                <w:highlight w:val="none"/>
                <w:lang w:val="en-US" w:eastAsia="zh-CN"/>
              </w:rPr>
              <w:t>成交供应商</w:t>
            </w:r>
            <w:r>
              <w:rPr>
                <w:rFonts w:hint="eastAsia" w:ascii="宋体" w:hAnsi="宋体" w:eastAsia="宋体" w:cs="宋体"/>
                <w:color w:val="auto"/>
                <w:szCs w:val="21"/>
                <w:highlight w:val="none"/>
              </w:rPr>
              <w:t>原因造成不按时完成验收造成逾期供货事实，由</w:t>
            </w:r>
            <w:r>
              <w:rPr>
                <w:rFonts w:hint="eastAsia" w:ascii="宋体" w:hAnsi="宋体" w:eastAsia="宋体" w:cs="宋体"/>
                <w:color w:val="auto"/>
                <w:szCs w:val="21"/>
                <w:highlight w:val="none"/>
                <w:lang w:val="en-US" w:eastAsia="zh-CN"/>
              </w:rPr>
              <w:t>成交供应商</w:t>
            </w:r>
            <w:r>
              <w:rPr>
                <w:rFonts w:hint="eastAsia" w:ascii="宋体" w:hAnsi="宋体" w:eastAsia="宋体" w:cs="宋体"/>
                <w:color w:val="auto"/>
                <w:szCs w:val="21"/>
                <w:highlight w:val="none"/>
              </w:rPr>
              <w:t>承担相关合同责任</w:t>
            </w:r>
            <w:r>
              <w:rPr>
                <w:rFonts w:hint="eastAsia" w:ascii="宋体" w:hAnsi="宋体" w:eastAsia="宋体" w:cs="宋体"/>
                <w:color w:val="auto"/>
                <w:szCs w:val="21"/>
                <w:highlight w:val="none"/>
                <w:lang w:eastAsia="zh-CN"/>
              </w:rPr>
              <w:t>；</w:t>
            </w:r>
          </w:p>
          <w:p w14:paraId="31235C7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验收过程中所产生的一切费用均由</w:t>
            </w:r>
            <w:r>
              <w:rPr>
                <w:rFonts w:hint="eastAsia" w:ascii="宋体" w:hAnsi="宋体" w:eastAsia="宋体" w:cs="宋体"/>
                <w:color w:val="auto"/>
                <w:szCs w:val="21"/>
                <w:highlight w:val="none"/>
                <w:lang w:eastAsia="zh-CN"/>
              </w:rPr>
              <w:t>成交供应商</w:t>
            </w:r>
            <w:r>
              <w:rPr>
                <w:rFonts w:hint="eastAsia" w:ascii="宋体" w:hAnsi="宋体" w:eastAsia="宋体" w:cs="宋体"/>
                <w:color w:val="auto"/>
                <w:szCs w:val="21"/>
                <w:highlight w:val="none"/>
              </w:rPr>
              <w:t>承担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报价时应考虑相关费用。</w:t>
            </w:r>
          </w:p>
          <w:p w14:paraId="561E4939">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三、其他要求</w:t>
            </w:r>
            <w:r>
              <w:rPr>
                <w:rFonts w:hint="eastAsia" w:ascii="宋体" w:hAnsi="宋体" w:cs="宋体"/>
                <w:b/>
                <w:bCs/>
                <w:color w:val="auto"/>
                <w:szCs w:val="21"/>
                <w:highlight w:val="none"/>
              </w:rPr>
              <w:t>：</w:t>
            </w:r>
          </w:p>
          <w:p w14:paraId="06590FB2">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成交供应商名额：本次采购项目将择优确定 1 家单位作为成交供货供应商；</w:t>
            </w:r>
          </w:p>
          <w:p w14:paraId="0E949943">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2.确定成交供应商后，成交后</w:t>
            </w:r>
            <w:r>
              <w:rPr>
                <w:rFonts w:hint="eastAsia" w:ascii="宋体" w:hAnsi="宋体" w:eastAsia="宋体" w:cs="宋体"/>
                <w:color w:val="auto"/>
                <w:szCs w:val="21"/>
                <w:highlight w:val="none"/>
              </w:rPr>
              <w:t>各种货物</w:t>
            </w:r>
            <w:r>
              <w:rPr>
                <w:rFonts w:hint="eastAsia" w:ascii="宋体" w:hAnsi="宋体" w:eastAsia="宋体" w:cs="宋体"/>
                <w:color w:val="auto"/>
                <w:szCs w:val="21"/>
                <w:highlight w:val="none"/>
                <w:lang w:val="en-US" w:eastAsia="zh-CN"/>
              </w:rPr>
              <w:t>的价格不随时间、市场价格等因素的变动而变动，直至采购人完成采购任务为止；</w:t>
            </w:r>
          </w:p>
          <w:p w14:paraId="39EDBF2F">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3.本项目不允许采用挂靠等方式，如有违反，采购单位有权解除合同，并不予支付费用和赔偿解除合同造成的损失，同时保留对货物供应商的追索权；</w:t>
            </w:r>
          </w:p>
          <w:p w14:paraId="6C240CF8">
            <w:pPr>
              <w:keepNext w:val="0"/>
              <w:keepLines w:val="0"/>
              <w:pageBreakBefore w:val="0"/>
              <w:numPr>
                <w:ilvl w:val="0"/>
                <w:numId w:val="0"/>
              </w:numPr>
              <w:kinsoku/>
              <w:wordWrap/>
              <w:overflowPunct/>
              <w:topLinePunct w:val="0"/>
              <w:autoSpaceDE/>
              <w:autoSpaceDN/>
              <w:bidi w:val="0"/>
              <w:adjustRightInd/>
              <w:spacing w:line="340" w:lineRule="exact"/>
              <w:ind w:leftChars="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4.报价要求：</w:t>
            </w:r>
          </w:p>
          <w:p w14:paraId="523F8B37">
            <w:pPr>
              <w:keepNext w:val="0"/>
              <w:keepLines w:val="0"/>
              <w:pageBreakBefore w:val="0"/>
              <w:numPr>
                <w:ilvl w:val="0"/>
                <w:numId w:val="0"/>
              </w:numPr>
              <w:kinsoku/>
              <w:wordWrap/>
              <w:overflowPunct/>
              <w:topLinePunct w:val="0"/>
              <w:autoSpaceDE/>
              <w:autoSpaceDN/>
              <w:bidi w:val="0"/>
              <w:adjustRightInd/>
              <w:spacing w:line="340" w:lineRule="exact"/>
              <w:ind w:leftChars="0"/>
              <w:jc w:val="both"/>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4.1</w:t>
            </w:r>
            <w:r>
              <w:rPr>
                <w:rFonts w:hint="eastAsia" w:ascii="宋体" w:hAnsi="宋体" w:cs="宋体"/>
                <w:color w:val="auto"/>
                <w:szCs w:val="21"/>
                <w:highlight w:val="none"/>
              </w:rPr>
              <w:t>供应商须就《项目需求》中</w:t>
            </w:r>
            <w:r>
              <w:rPr>
                <w:rFonts w:hint="eastAsia" w:ascii="宋体" w:hAnsi="宋体" w:cs="宋体"/>
                <w:color w:val="auto"/>
                <w:szCs w:val="21"/>
                <w:highlight w:val="none"/>
                <w:lang w:val="en-US" w:eastAsia="zh-CN"/>
              </w:rPr>
              <w:t>的</w:t>
            </w:r>
            <w:r>
              <w:rPr>
                <w:rFonts w:hint="eastAsia" w:ascii="宋体" w:hAnsi="宋体" w:eastAsia="宋体" w:cs="宋体"/>
                <w:color w:val="auto"/>
                <w:szCs w:val="21"/>
                <w:highlight w:val="none"/>
              </w:rPr>
              <w:t>内容作唯一报价</w:t>
            </w:r>
            <w:r>
              <w:rPr>
                <w:rFonts w:hint="eastAsia" w:ascii="宋体" w:hAnsi="宋体" w:eastAsia="宋体" w:cs="宋体"/>
                <w:color w:val="auto"/>
                <w:szCs w:val="21"/>
                <w:highlight w:val="none"/>
                <w:lang w:eastAsia="zh-CN"/>
              </w:rPr>
              <w:t>。</w:t>
            </w:r>
          </w:p>
          <w:p w14:paraId="1613E345">
            <w:pPr>
              <w:keepNext w:val="0"/>
              <w:keepLines w:val="0"/>
              <w:pageBreakBefore w:val="0"/>
              <w:numPr>
                <w:ilvl w:val="0"/>
                <w:numId w:val="0"/>
              </w:numPr>
              <w:kinsoku/>
              <w:wordWrap/>
              <w:overflowPunct/>
              <w:topLinePunct w:val="0"/>
              <w:autoSpaceDE/>
              <w:autoSpaceDN/>
              <w:bidi w:val="0"/>
              <w:adjustRightInd/>
              <w:spacing w:line="340" w:lineRule="exact"/>
              <w:ind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4.2本项目的响应报价应包括货物（包括备品备件、专用工具等）的价格</w:t>
            </w:r>
            <w:r>
              <w:rPr>
                <w:rFonts w:hint="eastAsia" w:ascii="宋体" w:hAnsi="宋体" w:cs="宋体"/>
                <w:color w:val="auto"/>
                <w:szCs w:val="21"/>
                <w:highlight w:val="none"/>
              </w:rPr>
              <w:t>包括货物运输（含保险）、安装、调试</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检验、技术服务、培训</w:t>
            </w:r>
            <w:r>
              <w:rPr>
                <w:rFonts w:hint="eastAsia" w:ascii="宋体" w:hAnsi="宋体" w:cs="宋体"/>
                <w:color w:val="auto"/>
                <w:szCs w:val="21"/>
                <w:highlight w:val="none"/>
                <w:lang w:eastAsia="zh-CN"/>
              </w:rPr>
              <w:t>、</w:t>
            </w:r>
            <w:r>
              <w:rPr>
                <w:rFonts w:hint="eastAsia"/>
                <w:color w:val="auto"/>
                <w:highlight w:val="none"/>
                <w:lang w:val="en-US" w:eastAsia="zh-CN"/>
              </w:rPr>
              <w:t>项目验收</w:t>
            </w:r>
            <w:r>
              <w:rPr>
                <w:rFonts w:hint="eastAsia" w:ascii="宋体" w:hAnsi="宋体" w:cs="宋体"/>
                <w:color w:val="auto"/>
                <w:szCs w:val="21"/>
                <w:highlight w:val="none"/>
              </w:rPr>
              <w:t>和</w:t>
            </w:r>
            <w:r>
              <w:rPr>
                <w:rFonts w:hint="eastAsia" w:ascii="宋体" w:hAnsi="宋体" w:cs="宋体"/>
                <w:color w:val="auto"/>
                <w:szCs w:val="21"/>
                <w:highlight w:val="none"/>
                <w:lang w:val="en-US" w:eastAsia="zh-CN"/>
              </w:rPr>
              <w:t>询价采购文件</w:t>
            </w:r>
            <w:r>
              <w:rPr>
                <w:rFonts w:hint="eastAsia" w:ascii="宋体" w:hAnsi="宋体" w:cs="宋体"/>
                <w:color w:val="auto"/>
                <w:szCs w:val="21"/>
                <w:highlight w:val="none"/>
              </w:rPr>
              <w:t>要求提供的所有伴随服务、工程等费用和税费</w:t>
            </w:r>
            <w:r>
              <w:rPr>
                <w:rFonts w:hint="eastAsia" w:ascii="宋体" w:hAnsi="宋体" w:eastAsia="宋体" w:cs="宋体"/>
                <w:color w:val="auto"/>
                <w:sz w:val="21"/>
                <w:szCs w:val="21"/>
                <w:highlight w:val="none"/>
                <w:lang w:val="en-US" w:eastAsia="zh-CN"/>
              </w:rPr>
              <w:t>。</w:t>
            </w:r>
          </w:p>
          <w:p w14:paraId="55C74252">
            <w:pPr>
              <w:keepNext w:val="0"/>
              <w:keepLines w:val="0"/>
              <w:pageBreakBefore w:val="0"/>
              <w:numPr>
                <w:ilvl w:val="0"/>
                <w:numId w:val="0"/>
              </w:numPr>
              <w:kinsoku/>
              <w:wordWrap/>
              <w:overflowPunct/>
              <w:topLinePunct w:val="0"/>
              <w:autoSpaceDE/>
              <w:autoSpaceDN/>
              <w:bidi w:val="0"/>
              <w:adjustRightInd/>
              <w:spacing w:line="340" w:lineRule="exact"/>
              <w:ind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lang w:val="en-US" w:eastAsia="zh-CN"/>
              </w:rPr>
              <w:t>5.采购预算：人民币</w:t>
            </w:r>
            <w:r>
              <w:rPr>
                <w:rFonts w:hint="eastAsia" w:ascii="宋体" w:hAnsi="宋体" w:eastAsia="宋体" w:cs="宋体"/>
                <w:b/>
                <w:bCs/>
                <w:color w:val="auto"/>
                <w:szCs w:val="21"/>
                <w:highlight w:val="none"/>
                <w:lang w:val="en-US" w:eastAsia="zh-CN"/>
              </w:rPr>
              <w:fldChar w:fldCharType="begin"/>
            </w:r>
            <w:r>
              <w:rPr>
                <w:rFonts w:hint="eastAsia" w:ascii="宋体" w:hAnsi="宋体" w:eastAsia="宋体" w:cs="宋体"/>
                <w:b/>
                <w:bCs/>
                <w:color w:val="auto"/>
                <w:szCs w:val="21"/>
                <w:highlight w:val="none"/>
                <w:lang w:val="en-US" w:eastAsia="zh-CN"/>
              </w:rPr>
              <w:instrText xml:space="preserve"> = 406000 \* CHINESENUM2 \* MERGEFORMAT </w:instrText>
            </w:r>
            <w:r>
              <w:rPr>
                <w:rFonts w:hint="eastAsia" w:ascii="宋体" w:hAnsi="宋体" w:eastAsia="宋体" w:cs="宋体"/>
                <w:b/>
                <w:bCs/>
                <w:color w:val="auto"/>
                <w:szCs w:val="21"/>
                <w:highlight w:val="none"/>
                <w:lang w:val="en-US" w:eastAsia="zh-CN"/>
              </w:rPr>
              <w:fldChar w:fldCharType="separate"/>
            </w:r>
            <w:r>
              <w:rPr>
                <w:rFonts w:hint="eastAsia" w:ascii="宋体" w:hAnsi="宋体" w:eastAsia="宋体" w:cs="宋体"/>
                <w:b/>
                <w:bCs/>
                <w:color w:val="auto"/>
                <w:szCs w:val="21"/>
                <w:highlight w:val="none"/>
                <w:lang w:val="en-US" w:eastAsia="zh-CN"/>
              </w:rPr>
              <w:t>肆拾万陆仟</w:t>
            </w:r>
            <w:r>
              <w:rPr>
                <w:rFonts w:hint="eastAsia" w:ascii="宋体" w:hAnsi="宋体" w:eastAsia="宋体" w:cs="宋体"/>
                <w:b/>
                <w:bCs/>
                <w:color w:val="auto"/>
                <w:szCs w:val="21"/>
                <w:highlight w:val="none"/>
                <w:lang w:val="en-US" w:eastAsia="zh-CN"/>
              </w:rPr>
              <w:fldChar w:fldCharType="end"/>
            </w:r>
            <w:r>
              <w:rPr>
                <w:rFonts w:hint="eastAsia" w:ascii="宋体" w:hAnsi="宋体" w:eastAsia="宋体" w:cs="宋体"/>
                <w:b/>
                <w:bCs/>
                <w:color w:val="auto"/>
                <w:szCs w:val="21"/>
                <w:highlight w:val="none"/>
                <w:lang w:val="en-US" w:eastAsia="zh-CN"/>
              </w:rPr>
              <w:t>元整（¥406000.00），报价超过采购预算价的为无效报价。</w:t>
            </w:r>
          </w:p>
        </w:tc>
      </w:tr>
      <w:tr w14:paraId="1747E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361" w:type="dxa"/>
            <w:tcBorders>
              <w:right w:val="single" w:color="auto" w:sz="4" w:space="0"/>
            </w:tcBorders>
            <w:noWrap w:val="0"/>
            <w:vAlign w:val="center"/>
          </w:tcPr>
          <w:p w14:paraId="592F5DC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highlight w:val="none"/>
              </w:rPr>
              <w:t>其他说明</w:t>
            </w:r>
          </w:p>
        </w:tc>
        <w:tc>
          <w:tcPr>
            <w:tcW w:w="1230" w:type="dxa"/>
            <w:gridSpan w:val="2"/>
            <w:tcBorders>
              <w:left w:val="single" w:color="auto" w:sz="4" w:space="0"/>
            </w:tcBorders>
            <w:noWrap w:val="0"/>
            <w:vAlign w:val="center"/>
          </w:tcPr>
          <w:p w14:paraId="1EFC1C7B">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Cs w:val="21"/>
                <w:highlight w:val="none"/>
              </w:rPr>
            </w:pPr>
          </w:p>
        </w:tc>
        <w:tc>
          <w:tcPr>
            <w:tcW w:w="8960" w:type="dxa"/>
            <w:gridSpan w:val="4"/>
            <w:tcBorders>
              <w:left w:val="single" w:color="auto" w:sz="4" w:space="0"/>
            </w:tcBorders>
            <w:noWrap w:val="0"/>
            <w:vAlign w:val="center"/>
          </w:tcPr>
          <w:p w14:paraId="73ADCA29">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进口产品说明</w:t>
            </w:r>
            <w:r>
              <w:rPr>
                <w:rFonts w:hint="eastAsia" w:ascii="宋体" w:hAnsi="宋体" w:cs="宋体"/>
                <w:b/>
                <w:bCs/>
                <w:color w:val="auto"/>
                <w:szCs w:val="21"/>
                <w:highlight w:val="none"/>
                <w:lang w:eastAsia="zh-CN"/>
              </w:rPr>
              <w:t>：</w:t>
            </w:r>
          </w:p>
          <w:p w14:paraId="33B75026">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本</w:t>
            </w:r>
            <w:r>
              <w:rPr>
                <w:rFonts w:hint="eastAsia" w:ascii="宋体" w:hAnsi="宋体" w:eastAsia="宋体" w:cs="宋体"/>
                <w:color w:val="auto"/>
                <w:szCs w:val="21"/>
                <w:highlight w:val="none"/>
                <w:lang w:eastAsia="zh-CN"/>
              </w:rPr>
              <w:t>项目</w:t>
            </w:r>
            <w:r>
              <w:rPr>
                <w:rFonts w:hint="eastAsia" w:ascii="宋体" w:hAnsi="宋体" w:eastAsia="宋体" w:cs="宋体"/>
                <w:color w:val="auto"/>
                <w:szCs w:val="21"/>
                <w:highlight w:val="none"/>
              </w:rPr>
              <w:t>货物所涉及的货物不接受进口产品（即通过中国海关报关验放进入中国境内且产自关境外的产品）参与</w:t>
            </w:r>
            <w:r>
              <w:rPr>
                <w:rFonts w:hint="eastAsia" w:ascii="宋体" w:hAnsi="宋体" w:eastAsia="宋体" w:cs="宋体"/>
                <w:color w:val="auto"/>
                <w:szCs w:val="21"/>
                <w:highlight w:val="none"/>
                <w:lang w:eastAsia="zh-CN"/>
              </w:rPr>
              <w:t>竞</w:t>
            </w:r>
            <w:r>
              <w:rPr>
                <w:rFonts w:hint="eastAsia" w:ascii="宋体" w:hAnsi="宋体" w:eastAsia="宋体" w:cs="宋体"/>
                <w:color w:val="auto"/>
                <w:szCs w:val="21"/>
                <w:highlight w:val="none"/>
              </w:rPr>
              <w:t>标，</w:t>
            </w:r>
            <w:r>
              <w:rPr>
                <w:rFonts w:hint="eastAsia" w:ascii="宋体" w:hAnsi="宋体" w:eastAsia="宋体" w:cs="宋体"/>
                <w:b/>
                <w:color w:val="auto"/>
                <w:szCs w:val="21"/>
                <w:highlight w:val="none"/>
              </w:rPr>
              <w:t>如有进口产品参与</w:t>
            </w:r>
            <w:r>
              <w:rPr>
                <w:rFonts w:hint="eastAsia" w:ascii="宋体" w:hAnsi="宋体" w:eastAsia="宋体" w:cs="宋体"/>
                <w:b/>
                <w:color w:val="auto"/>
                <w:szCs w:val="21"/>
                <w:highlight w:val="none"/>
                <w:lang w:val="en-US" w:eastAsia="zh-CN"/>
              </w:rPr>
              <w:t>询价</w:t>
            </w:r>
            <w:r>
              <w:rPr>
                <w:rFonts w:hint="eastAsia" w:ascii="宋体" w:hAnsi="宋体" w:eastAsia="宋体" w:cs="宋体"/>
                <w:b/>
                <w:color w:val="auto"/>
                <w:szCs w:val="21"/>
                <w:highlight w:val="none"/>
              </w:rPr>
              <w:t>的作无效</w:t>
            </w:r>
            <w:r>
              <w:rPr>
                <w:rFonts w:hint="eastAsia" w:ascii="宋体" w:hAnsi="宋体" w:eastAsia="宋体" w:cs="宋体"/>
                <w:b/>
                <w:color w:val="auto"/>
                <w:szCs w:val="21"/>
                <w:highlight w:val="none"/>
                <w:lang w:val="en-US" w:eastAsia="zh-CN"/>
              </w:rPr>
              <w:t>响应</w:t>
            </w:r>
            <w:r>
              <w:rPr>
                <w:rFonts w:hint="eastAsia" w:ascii="宋体" w:hAnsi="宋体" w:eastAsia="宋体" w:cs="宋体"/>
                <w:b/>
                <w:color w:val="auto"/>
                <w:szCs w:val="21"/>
                <w:highlight w:val="none"/>
              </w:rPr>
              <w:t>处理</w:t>
            </w:r>
            <w:r>
              <w:rPr>
                <w:rFonts w:hint="eastAsia" w:ascii="宋体" w:hAnsi="宋体" w:eastAsia="宋体" w:cs="宋体"/>
                <w:color w:val="auto"/>
                <w:szCs w:val="21"/>
                <w:highlight w:val="none"/>
              </w:rPr>
              <w:t>。</w:t>
            </w:r>
          </w:p>
        </w:tc>
      </w:tr>
    </w:tbl>
    <w:p w14:paraId="316B1F16">
      <w:pPr>
        <w:jc w:val="both"/>
        <w:rPr>
          <w:rFonts w:hint="default"/>
          <w:lang w:val="en-US" w:eastAsia="zh-CN"/>
        </w:rPr>
      </w:pPr>
    </w:p>
    <w:sectPr>
      <w:pgSz w:w="11906" w:h="16838"/>
      <w:pgMar w:top="1123" w:right="1009" w:bottom="1123" w:left="100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1" w:cryptProviderType="rsaFull" w:cryptAlgorithmClass="hash" w:cryptAlgorithmType="typeAny" w:cryptAlgorithmSid="4" w:cryptSpinCount="0" w:hash="M5gi1WKk8W88Qo250SXjY2FMMLU=" w:salt="6qoplHpGdbrlCUdrZteEV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795161"/>
    <w:rsid w:val="0F0547E3"/>
    <w:rsid w:val="12CF0897"/>
    <w:rsid w:val="38AC78FA"/>
    <w:rsid w:val="487C33A3"/>
    <w:rsid w:val="4BEE2502"/>
    <w:rsid w:val="572A43B4"/>
    <w:rsid w:val="57F62302"/>
    <w:rsid w:val="5E4E6C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index 8"/>
    <w:basedOn w:val="1"/>
    <w:next w:val="1"/>
    <w:qFormat/>
    <w:uiPriority w:val="0"/>
    <w:pPr>
      <w:ind w:left="2940"/>
    </w:pPr>
  </w:style>
  <w:style w:type="paragraph" w:styleId="3">
    <w:name w:val="Normal Indent"/>
    <w:basedOn w:val="1"/>
    <w:qFormat/>
    <w:uiPriority w:val="0"/>
    <w:pPr>
      <w:ind w:firstLine="420"/>
    </w:pPr>
    <w:rPr>
      <w:szCs w:val="20"/>
    </w:rPr>
  </w:style>
  <w:style w:type="paragraph" w:styleId="4">
    <w:name w:val="annotation text"/>
    <w:basedOn w:val="1"/>
    <w:semiHidden/>
    <w:qFormat/>
    <w:uiPriority w:val="0"/>
    <w:pPr>
      <w:jc w:val="left"/>
    </w:pPr>
  </w:style>
  <w:style w:type="paragraph" w:styleId="5">
    <w:name w:val="Body Text"/>
    <w:basedOn w:val="1"/>
    <w:qFormat/>
    <w:uiPriority w:val="0"/>
    <w:pPr>
      <w:jc w:val="center"/>
    </w:pPr>
  </w:style>
  <w:style w:type="paragraph" w:styleId="6">
    <w:name w:val="Plain Text"/>
    <w:basedOn w:val="1"/>
    <w:next w:val="2"/>
    <w:qFormat/>
    <w:uiPriority w:val="0"/>
    <w:rPr>
      <w:rFonts w:ascii="宋体" w:hAnsi="Courier New"/>
      <w:szCs w:val="20"/>
    </w:rPr>
  </w:style>
  <w:style w:type="paragraph" w:styleId="7">
    <w:name w:val="footer"/>
    <w:basedOn w:val="1"/>
    <w:next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right"/>
    </w:pPr>
    <w:rPr>
      <w:sz w:val="18"/>
      <w:szCs w:val="18"/>
    </w:rPr>
  </w:style>
  <w:style w:type="paragraph" w:customStyle="1" w:styleId="11">
    <w:name w:val="Heading2"/>
    <w:basedOn w:val="1"/>
    <w:next w:val="1"/>
    <w:qFormat/>
    <w:uiPriority w:val="0"/>
    <w:pPr>
      <w:keepNext/>
      <w:keepLines/>
      <w:spacing w:before="260" w:after="260" w:line="416" w:lineRule="auto"/>
    </w:pPr>
    <w:rPr>
      <w:rFonts w:ascii="Arial" w:hAnsi="Arial" w:eastAsia="黑体" w:cs="Times New Roman"/>
      <w:b/>
      <w:bCs/>
      <w:kern w:val="0"/>
      <w:sz w:val="32"/>
      <w:szCs w:val="32"/>
    </w:rPr>
  </w:style>
  <w:style w:type="character" w:customStyle="1" w:styleId="12">
    <w:name w:val="NormalCharacter"/>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4885</Words>
  <Characters>5326</Characters>
  <Lines>0</Lines>
  <Paragraphs>0</Paragraphs>
  <TotalTime>1</TotalTime>
  <ScaleCrop>false</ScaleCrop>
  <LinksUpToDate>false</LinksUpToDate>
  <CharactersWithSpaces>5364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2025-02-26T08:01:00Z</dcterms:created>
  <dc:creator>Administrator</dc:creator>
  <cp:lastModifiedBy>a@1012</cp:lastModifiedBy>
  <dcterms:modified xsi:type="dcterms:W3CDTF">2026-03-16T08:02:50Z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eyJoZGlkIjoiOWQ0M2JlNWVmMTVmN2QyYzQwYTY5OWM3YjNjMzFkNjUiLCJ1c2VySWQiOiIyMzI4NjUwMDMifQ==</vt:lpwstr>
  </property>
  <property fmtid="{D5CDD505-2E9C-101B-9397-08002B2CF9AE}" pid="4" name="ICV">
    <vt:lpwstr>B12564385D8E4C4292F80BCCB6C1174A_12</vt:lpwstr>
  </property>
</Properties>
</file>