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EC28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宋体" w:hAnsi="宋体" w:cs="宋体"/>
          <w:b/>
          <w:bCs/>
          <w:sz w:val="32"/>
          <w:szCs w:val="36"/>
          <w:u w:val="none"/>
          <w:lang w:eastAsia="zh-CN"/>
        </w:rPr>
      </w:pPr>
      <w:bookmarkStart w:id="0" w:name="_Toc3418"/>
      <w:r>
        <w:rPr>
          <w:rFonts w:hint="eastAsia" w:ascii="宋体" w:hAnsi="宋体" w:eastAsia="宋体" w:cs="宋体"/>
          <w:b/>
          <w:bCs/>
          <w:sz w:val="32"/>
          <w:szCs w:val="36"/>
          <w:u w:val="none"/>
        </w:rPr>
        <w:t>柳钢新游公司储销一体化设施安全环保改造工程</w:t>
      </w:r>
      <w:r>
        <w:rPr>
          <w:rFonts w:hint="eastAsia" w:ascii="宋体" w:hAnsi="宋体" w:eastAsia="宋体" w:cs="宋体"/>
          <w:b/>
          <w:bCs/>
          <w:sz w:val="32"/>
          <w:szCs w:val="36"/>
          <w:u w:val="none"/>
          <w:lang w:eastAsia="zh-CN"/>
        </w:rPr>
        <w:t>（KLLGG252009）答疑回复</w:t>
      </w:r>
      <w:r>
        <w:rPr>
          <w:rFonts w:hint="eastAsia" w:ascii="宋体" w:hAnsi="宋体" w:cs="宋体"/>
          <w:b/>
          <w:bCs/>
          <w:sz w:val="32"/>
          <w:szCs w:val="36"/>
          <w:u w:val="none"/>
          <w:lang w:eastAsia="zh-CN"/>
        </w:rPr>
        <w:t>（四）</w:t>
      </w:r>
    </w:p>
    <w:p w14:paraId="276AE3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cs="宋体"/>
          <w:b/>
          <w:bCs/>
          <w:sz w:val="28"/>
          <w:szCs w:val="28"/>
          <w:u w:val="none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u w:val="none"/>
          <w:lang w:eastAsia="zh-CN"/>
        </w:rPr>
        <w:t>答疑回复一：</w:t>
      </w:r>
    </w:p>
    <w:p w14:paraId="1E26D36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给排水专业</w:t>
      </w:r>
    </w:p>
    <w:p w14:paraId="6B09A4A9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default" w:ascii="宋体" w:hAnsi="宋体" w:cs="宋体"/>
          <w:b w:val="0"/>
          <w:bCs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u w:val="none"/>
          <w:lang w:val="en-US" w:eastAsia="zh-CN"/>
        </w:rPr>
        <w:t>需澄清问题：关于其他院澄清的答复内容继续澄清：</w:t>
      </w:r>
    </w:p>
    <w:p w14:paraId="727DDB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default" w:ascii="宋体" w:hAnsi="宋体" w:eastAsia="宋体" w:cs="宋体"/>
          <w:b/>
          <w:bCs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根据“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柳钢新游公司储销一体化设施安全环保改造工程（KLLGG252009）答疑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回复（一）”中给排水专业第2问的回复意见（见下面截图）：</w:t>
      </w:r>
    </w:p>
    <w:p w14:paraId="02F32569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60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outlineLvl w:val="0"/>
        <w:rPr>
          <w:rFonts w:hint="eastAsia" w:ascii="Times New Roman" w:hAnsi="Times New Roman" w:eastAsia="宋体" w:cs="Times New Roman"/>
          <w:b/>
          <w:smallCaps/>
          <w:color w:val="auto"/>
          <w:kern w:val="2"/>
          <w:sz w:val="24"/>
          <w:szCs w:val="24"/>
          <w:lang w:val="en-US" w:eastAsia="zh-CN" w:bidi="ar-SA"/>
        </w:rPr>
      </w:pPr>
      <w:r>
        <w:rPr>
          <w:sz w:val="24"/>
          <w:szCs w:val="24"/>
        </w:rPr>
        <w:drawing>
          <wp:inline distT="0" distB="0" distL="114300" distR="114300">
            <wp:extent cx="5274310" cy="1114425"/>
            <wp:effectExtent l="0" t="0" r="254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AE0F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 w:ascii="宋体" w:hAnsi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澄清问题：</w:t>
      </w:r>
      <w:r>
        <w:rPr>
          <w:rFonts w:hint="eastAsia" w:ascii="宋体" w:hAnsi="宋体" w:eastAsia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此回复意见未明确是否新建消防水池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，根据《石油化工企业设计防火标准》（2018版）GB50160-2008中第8.3.1A第2条“每条消防供水系统的最大保护半径不宜超过1200m”，</w:t>
      </w:r>
      <w:r>
        <w:rPr>
          <w:rFonts w:hint="eastAsia" w:ascii="宋体" w:hAnsi="宋体" w:eastAsia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请问依托柳钢焦化厂消防水泵站与新建粗苯罐区</w:t>
      </w:r>
      <w:r>
        <w:rPr>
          <w:rFonts w:hint="eastAsia" w:ascii="宋体" w:hAnsi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距离是多少，是否大于</w:t>
      </w:r>
      <w:r>
        <w:rPr>
          <w:rFonts w:hint="eastAsia" w:ascii="宋体" w:hAnsi="宋体" w:eastAsia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1200m</w:t>
      </w:r>
      <w:r>
        <w:rPr>
          <w:rFonts w:hint="eastAsia" w:ascii="宋体" w:hAnsi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。</w:t>
      </w:r>
      <w:r>
        <w:rPr>
          <w:rFonts w:hint="eastAsia" w:ascii="宋体" w:hAnsi="宋体" w:eastAsia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若超出范围，</w:t>
      </w:r>
      <w:r>
        <w:rPr>
          <w:rFonts w:hint="eastAsia" w:ascii="宋体" w:hAnsi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按照规范要求</w:t>
      </w:r>
      <w:r>
        <w:rPr>
          <w:rFonts w:hint="eastAsia" w:ascii="宋体" w:hAnsi="宋体" w:eastAsia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则需新建</w:t>
      </w:r>
      <w:r>
        <w:rPr>
          <w:rFonts w:hint="eastAsia" w:ascii="宋体" w:hAnsi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消防系统的消防水池和消防泵房，那则请明确是否在本投标项目的红线内新建消防水池和消防泵房。</w:t>
      </w:r>
    </w:p>
    <w:p w14:paraId="1B1A96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default" w:ascii="宋体" w:hAnsi="宋体" w:cs="宋体"/>
          <w:b w:val="0"/>
          <w:bCs w:val="0"/>
          <w:color w:val="0000FF"/>
          <w:sz w:val="24"/>
          <w:szCs w:val="24"/>
          <w:highlight w:val="yellow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FF"/>
          <w:sz w:val="24"/>
          <w:szCs w:val="24"/>
          <w:highlight w:val="yellow"/>
          <w:u w:val="none"/>
          <w:lang w:val="en-US" w:eastAsia="zh-CN"/>
        </w:rPr>
        <w:t>回复：项目地址旁已有两路水源管径分别为DN500和DN200。后期提供图纸，请投标单位现场踏勘确定。</w:t>
      </w:r>
    </w:p>
    <w:p w14:paraId="6CFDFF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default" w:ascii="宋体" w:hAnsi="宋体" w:eastAsia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请提供依托焦化厂消防水系统设施（消防水泵和消防水池能力）。</w:t>
      </w:r>
      <w:r>
        <w:rPr>
          <w:rFonts w:hint="eastAsia" w:ascii="宋体" w:hAnsi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请问</w:t>
      </w:r>
      <w:r>
        <w:rPr>
          <w:rFonts w:hint="eastAsia" w:ascii="宋体" w:hAnsi="宋体" w:eastAsia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柳钢焦化厂与新游油库单元区及附属设施的总占地面积</w:t>
      </w:r>
      <w:r>
        <w:rPr>
          <w:rFonts w:hint="eastAsia" w:ascii="宋体" w:hAnsi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多少，</w:t>
      </w:r>
      <w:r>
        <w:rPr>
          <w:rFonts w:hint="eastAsia" w:ascii="宋体" w:hAnsi="宋体" w:eastAsia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是否超过100公顷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。</w:t>
      </w:r>
      <w:r>
        <w:rPr>
          <w:rFonts w:hint="eastAsia" w:ascii="宋体" w:hAnsi="宋体" w:cs="宋体"/>
          <w:b w:val="0"/>
          <w:bCs w:val="0"/>
          <w:sz w:val="24"/>
          <w:szCs w:val="24"/>
          <w:u w:val="none"/>
          <w:lang w:val="en-US" w:eastAsia="zh-CN"/>
        </w:rPr>
        <w:t>因为根据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《消防给水及消火栓系统技术规范》GB 50974-2014中第3.1.1中第2 条“工厂、堆场和储罐区等，当占地面积大于100h㎡，同一时间内的火灾起数应按2起确定，工厂、堆场和储罐区应按需水量最大的两座建筑（或堆场、储罐）各计1起；”</w:t>
      </w:r>
      <w:r>
        <w:rPr>
          <w:rFonts w:hint="eastAsia" w:ascii="宋体" w:hAnsi="宋体" w:cs="宋体"/>
          <w:b w:val="0"/>
          <w:bCs w:val="0"/>
          <w:sz w:val="24"/>
          <w:szCs w:val="24"/>
          <w:u w:val="none"/>
          <w:lang w:val="en-US" w:eastAsia="zh-CN"/>
        </w:rPr>
        <w:t>。</w:t>
      </w:r>
      <w:r>
        <w:rPr>
          <w:rFonts w:hint="eastAsia" w:ascii="宋体" w:hAnsi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请核实是否</w:t>
      </w:r>
      <w:r>
        <w:rPr>
          <w:rFonts w:hint="eastAsia" w:ascii="宋体" w:hAnsi="宋体" w:eastAsia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超过100公顷，同一时间内的火灾起数应按2起考虑</w:t>
      </w:r>
      <w:r>
        <w:rPr>
          <w:rFonts w:hint="eastAsia" w:ascii="宋体" w:hAnsi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？待收到回复后，核实</w:t>
      </w:r>
      <w:r>
        <w:rPr>
          <w:rFonts w:hint="eastAsia" w:ascii="宋体" w:hAnsi="宋体" w:eastAsia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焦化厂消防水系统设施</w:t>
      </w:r>
      <w:r>
        <w:rPr>
          <w:rFonts w:hint="eastAsia" w:ascii="宋体" w:hAnsi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是否满足能力（流量和压力等）。</w:t>
      </w:r>
    </w:p>
    <w:p w14:paraId="3CC26F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 w:ascii="宋体" w:hAnsi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请业主综合项目依托的实际情况，并回复。</w:t>
      </w:r>
    </w:p>
    <w:p w14:paraId="079365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default" w:ascii="宋体" w:hAnsi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FF"/>
          <w:sz w:val="24"/>
          <w:szCs w:val="24"/>
          <w:highlight w:val="yellow"/>
          <w:u w:val="none"/>
          <w:lang w:val="en-US" w:eastAsia="zh-CN"/>
        </w:rPr>
        <w:t>回复：不依托于焦化厂消防水系统，依托于项目旁现有消防水系统，占地面积不大于100公顷。</w:t>
      </w:r>
    </w:p>
    <w:p w14:paraId="189FFF3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电气专业</w:t>
      </w:r>
    </w:p>
    <w:bookmarkEnd w:id="0"/>
    <w:p w14:paraId="141764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15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u w:val="none"/>
          <w:lang w:val="en-US" w:eastAsia="zh-CN"/>
        </w:rPr>
        <w:t>1、需澄清问题：</w:t>
      </w:r>
    </w:p>
    <w:p w14:paraId="27A2DB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从原料B区物流园2#电磁站</w:t>
      </w:r>
      <w:r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  <w:t>采用380V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取电</w:t>
      </w:r>
      <w:r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  <w:t>，其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提供的电源点距离</w:t>
      </w:r>
      <w:r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  <w:t>油库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区域</w:t>
      </w:r>
      <w:r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  <w:t>约900m，距离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太远，</w:t>
      </w:r>
      <w:r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  <w:t>线损较大，运行不稳及运行成本高。</w:t>
      </w:r>
    </w:p>
    <w:p w14:paraId="73F046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  <w:t>我司建议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提供</w:t>
      </w:r>
      <w:r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  <w:t>380V其它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电源点</w:t>
      </w:r>
      <w:r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  <w:t>；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或在</w:t>
      </w:r>
      <w:r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  <w:t>新建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生产区域</w:t>
      </w:r>
      <w:r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  <w:t>配电室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设置变压器，采用10kV电源供电</w:t>
      </w:r>
      <w:r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  <w:t>，保证距离，运行经济平稳。</w:t>
      </w:r>
    </w:p>
    <w:p w14:paraId="02D53C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color w:val="0000FF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color w:val="0000FF"/>
          <w:kern w:val="2"/>
          <w:sz w:val="24"/>
          <w:szCs w:val="24"/>
          <w:lang w:val="en-US" w:eastAsia="zh-CN" w:bidi="ar-SA"/>
        </w:rPr>
        <w:t>请发包人考虑，并回复是否调整供电方案。</w:t>
      </w:r>
    </w:p>
    <w:p w14:paraId="4B6037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cs="宋体"/>
          <w:color w:val="0000FF"/>
          <w:kern w:val="2"/>
          <w:sz w:val="24"/>
          <w:szCs w:val="24"/>
          <w:highlight w:val="yellow"/>
          <w:lang w:val="en-US" w:eastAsia="zh-CN" w:bidi="ar-SA"/>
        </w:rPr>
      </w:pPr>
      <w:r>
        <w:rPr>
          <w:rFonts w:hint="eastAsia" w:ascii="宋体" w:hAnsi="宋体" w:cs="宋体"/>
          <w:color w:val="0000FF"/>
          <w:kern w:val="2"/>
          <w:sz w:val="24"/>
          <w:szCs w:val="24"/>
          <w:highlight w:val="yellow"/>
          <w:lang w:val="en-US" w:eastAsia="zh-CN" w:bidi="ar-SA"/>
        </w:rPr>
        <w:t>回复：经我方专业人员论证核实，取电距离不大于900米能够满足取电需求，请投标方做好设备、设施及其他方案的保证。</w:t>
      </w:r>
    </w:p>
    <w:p w14:paraId="1C81738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其他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专业</w:t>
      </w:r>
    </w:p>
    <w:p w14:paraId="33185F6B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cs="宋体"/>
          <w:color w:val="0000FF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color w:val="0000FF"/>
          <w:kern w:val="2"/>
          <w:sz w:val="24"/>
          <w:szCs w:val="24"/>
          <w:lang w:val="en-US" w:eastAsia="zh-CN" w:bidi="ar-SA"/>
        </w:rPr>
        <w:t>根据规范，</w:t>
      </w:r>
      <w:r>
        <w:rPr>
          <w:rFonts w:hint="default" w:ascii="宋体" w:hAnsi="宋体" w:cs="宋体"/>
          <w:color w:val="0000FF"/>
          <w:kern w:val="2"/>
          <w:sz w:val="24"/>
          <w:szCs w:val="24"/>
          <w:lang w:val="en-US" w:eastAsia="zh-CN" w:bidi="ar-SA"/>
        </w:rPr>
        <w:t>化工项目</w:t>
      </w:r>
      <w:r>
        <w:rPr>
          <w:rFonts w:hint="eastAsia" w:ascii="宋体" w:hAnsi="宋体" w:cs="宋体"/>
          <w:color w:val="0000FF"/>
          <w:kern w:val="2"/>
          <w:sz w:val="24"/>
          <w:szCs w:val="24"/>
          <w:lang w:val="en-US" w:eastAsia="zh-CN" w:bidi="ar-SA"/>
        </w:rPr>
        <w:t>应包含</w:t>
      </w:r>
      <w:r>
        <w:rPr>
          <w:rFonts w:hint="default" w:ascii="宋体" w:hAnsi="宋体" w:cs="宋体"/>
          <w:color w:val="0000FF"/>
          <w:kern w:val="2"/>
          <w:sz w:val="24"/>
          <w:szCs w:val="24"/>
          <w:lang w:val="en-US" w:eastAsia="zh-CN" w:bidi="ar-SA"/>
        </w:rPr>
        <w:t>HAZ0P分析报告和SIL定级报告</w:t>
      </w:r>
      <w:r>
        <w:rPr>
          <w:rFonts w:hint="eastAsia" w:ascii="宋体" w:hAnsi="宋体" w:cs="宋体"/>
          <w:color w:val="0000FF"/>
          <w:kern w:val="2"/>
          <w:sz w:val="24"/>
          <w:szCs w:val="24"/>
          <w:lang w:val="en-US" w:eastAsia="zh-CN" w:bidi="ar-SA"/>
        </w:rPr>
        <w:t>、SIL验算，请确认本招标内容是否包含此部分</w:t>
      </w:r>
      <w:r>
        <w:rPr>
          <w:rFonts w:hint="default" w:ascii="宋体" w:hAnsi="宋体" w:cs="宋体"/>
          <w:color w:val="0000FF"/>
          <w:kern w:val="2"/>
          <w:sz w:val="24"/>
          <w:szCs w:val="24"/>
          <w:lang w:val="en-US" w:eastAsia="zh-CN" w:bidi="ar-SA"/>
        </w:rPr>
        <w:t>。</w:t>
      </w:r>
    </w:p>
    <w:p w14:paraId="2DAA8B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cs="宋体"/>
          <w:color w:val="0000FF"/>
          <w:kern w:val="2"/>
          <w:sz w:val="24"/>
          <w:szCs w:val="24"/>
          <w:highlight w:val="yellow"/>
          <w:lang w:val="en-US" w:eastAsia="zh-CN" w:bidi="ar-SA"/>
        </w:rPr>
      </w:pPr>
      <w:r>
        <w:rPr>
          <w:rFonts w:hint="eastAsia" w:ascii="宋体" w:hAnsi="宋体" w:cs="宋体"/>
          <w:color w:val="0000FF"/>
          <w:kern w:val="2"/>
          <w:sz w:val="24"/>
          <w:szCs w:val="24"/>
          <w:highlight w:val="yellow"/>
          <w:lang w:val="en-US" w:eastAsia="zh-CN" w:bidi="ar-SA"/>
        </w:rPr>
        <w:t>回复：包含</w:t>
      </w:r>
      <w:r>
        <w:rPr>
          <w:rFonts w:hint="default" w:ascii="宋体" w:hAnsi="宋体" w:cs="宋体"/>
          <w:color w:val="0000FF"/>
          <w:kern w:val="2"/>
          <w:sz w:val="24"/>
          <w:szCs w:val="24"/>
          <w:highlight w:val="yellow"/>
          <w:lang w:val="en-US" w:eastAsia="zh-CN" w:bidi="ar-SA"/>
        </w:rPr>
        <w:t>HAZ0P分析报告和SIL定级报告</w:t>
      </w:r>
      <w:r>
        <w:rPr>
          <w:rFonts w:hint="eastAsia" w:ascii="宋体" w:hAnsi="宋体" w:cs="宋体"/>
          <w:color w:val="0000FF"/>
          <w:kern w:val="2"/>
          <w:sz w:val="24"/>
          <w:szCs w:val="24"/>
          <w:highlight w:val="yellow"/>
          <w:lang w:val="en-US" w:eastAsia="zh-CN" w:bidi="ar-SA"/>
        </w:rPr>
        <w:t>、SIL验算。</w:t>
      </w:r>
    </w:p>
    <w:p w14:paraId="0477DEF4">
      <w:pPr>
        <w:spacing w:line="360" w:lineRule="auto"/>
        <w:rPr>
          <w:rFonts w:hint="eastAsia"/>
          <w:sz w:val="24"/>
          <w:szCs w:val="24"/>
          <w:lang w:eastAsia="zh-CN"/>
        </w:rPr>
      </w:pPr>
    </w:p>
    <w:p w14:paraId="668EF4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cs="宋体"/>
          <w:b/>
          <w:bCs/>
          <w:sz w:val="28"/>
          <w:szCs w:val="28"/>
          <w:u w:val="none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u w:val="none"/>
          <w:lang w:eastAsia="zh-CN"/>
        </w:rPr>
        <w:t>答疑回复二：</w:t>
      </w:r>
    </w:p>
    <w:p w14:paraId="71FE6A6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u w:val="none"/>
          <w:lang w:val="en-US" w:eastAsia="zh-CN"/>
        </w:rPr>
        <w:t>关于油库单元入粗苯罐前设置脱水及脱渣需澄清问题：关于其他院澄清的答复内容继续澄清：</w:t>
      </w:r>
    </w:p>
    <w:p w14:paraId="677D6B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default" w:ascii="宋体" w:hAnsi="宋体" w:eastAsia="宋体" w:cs="宋体"/>
          <w:b/>
          <w:bCs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根据“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柳钢新游公司储销一体化设施安全环保改造工程（KLLGG252009）答疑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回复（一）</w:t>
      </w:r>
      <w:r>
        <w:rPr>
          <w:rFonts w:hint="eastAsia" w:ascii="宋体" w:hAnsi="宋体" w:cs="宋体"/>
          <w:b w:val="0"/>
          <w:bCs w:val="0"/>
          <w:sz w:val="24"/>
          <w:szCs w:val="24"/>
          <w:u w:val="none"/>
          <w:lang w:val="en-US" w:eastAsia="zh-CN"/>
        </w:rPr>
        <w:t>和（三）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”中</w:t>
      </w:r>
      <w:r>
        <w:rPr>
          <w:rFonts w:hint="eastAsia" w:ascii="宋体" w:hAnsi="宋体" w:cs="宋体"/>
          <w:b w:val="0"/>
          <w:bCs w:val="0"/>
          <w:sz w:val="24"/>
          <w:szCs w:val="24"/>
          <w:u w:val="none"/>
          <w:lang w:val="en-US" w:eastAsia="zh-CN"/>
        </w:rPr>
        <w:t>关于脱水脱渣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的回复意见（见下面截图）：</w:t>
      </w:r>
    </w:p>
    <w:p w14:paraId="74D95B39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60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outlineLvl w:val="0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273040" cy="1859280"/>
            <wp:effectExtent l="0" t="0" r="381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AA336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60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outlineLvl w:val="0"/>
        <w:rPr>
          <w:rFonts w:hint="eastAsia"/>
          <w:sz w:val="24"/>
          <w:szCs w:val="24"/>
          <w:lang w:val="en-US" w:eastAsia="zh-CN"/>
        </w:rPr>
      </w:pPr>
      <w:r>
        <w:rPr>
          <w:sz w:val="24"/>
          <w:szCs w:val="24"/>
        </w:rPr>
        <w:drawing>
          <wp:inline distT="0" distB="0" distL="114300" distR="114300">
            <wp:extent cx="4483100" cy="1812290"/>
            <wp:effectExtent l="0" t="0" r="12700" b="165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83100" cy="181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CF1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 w:ascii="宋体" w:hAnsi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澄清问题：上述</w:t>
      </w:r>
      <w:r>
        <w:rPr>
          <w:rFonts w:hint="eastAsia" w:ascii="宋体" w:hAnsi="宋体" w:eastAsia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回复意见</w:t>
      </w:r>
      <w:r>
        <w:rPr>
          <w:rFonts w:hint="eastAsia" w:ascii="宋体" w:hAnsi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要求入粗苯罐前须设置脱水、脱渣设施，但给出的粗苯的含水量</w:t>
      </w:r>
      <w:r>
        <w:rPr>
          <w:rFonts w:hint="eastAsia" w:ascii="宋体" w:hAnsi="宋体" w:eastAsia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是</w:t>
      </w:r>
      <w:r>
        <w:rPr>
          <w:rFonts w:hint="eastAsia" w:ascii="宋体" w:hAnsi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0，是否笔误？请确认粗苯的含水量。</w:t>
      </w:r>
    </w:p>
    <w:p w14:paraId="09D602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default" w:ascii="宋体" w:hAnsi="宋体" w:cs="宋体"/>
          <w:b w:val="0"/>
          <w:bCs w:val="0"/>
          <w:color w:val="0000FF"/>
          <w:sz w:val="24"/>
          <w:szCs w:val="24"/>
          <w:highlight w:val="yellow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FF"/>
          <w:sz w:val="24"/>
          <w:szCs w:val="24"/>
          <w:highlight w:val="yellow"/>
          <w:u w:val="none"/>
          <w:lang w:val="en-US" w:eastAsia="zh-CN"/>
        </w:rPr>
        <w:t>回复：根据目前生产情况判断粗苯含有少量水，约0.5%的含水量。</w:t>
      </w:r>
    </w:p>
    <w:p w14:paraId="12B2D6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 w:ascii="宋体" w:hAnsi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FF"/>
          <w:sz w:val="24"/>
          <w:szCs w:val="24"/>
          <w:u w:val="none"/>
          <w:lang w:val="en-US" w:eastAsia="zh-CN"/>
        </w:rPr>
        <w:t>另请提供输送的粗苯含渣量，以及经脱渣设施脱渣后的粗苯含渣量要求。若对粒径大小也有要求，请一并提供粒径分布和含渣量要求。</w:t>
      </w:r>
    </w:p>
    <w:p w14:paraId="4EEF0F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</w:pPr>
      <w:r>
        <w:rPr>
          <w:rFonts w:hint="eastAsia" w:ascii="宋体" w:hAnsi="宋体" w:cs="宋体"/>
          <w:b w:val="0"/>
          <w:bCs w:val="0"/>
          <w:color w:val="0000FF"/>
          <w:sz w:val="24"/>
          <w:szCs w:val="24"/>
          <w:highlight w:val="yellow"/>
          <w:u w:val="none"/>
          <w:lang w:val="en-US" w:eastAsia="zh-CN"/>
        </w:rPr>
        <w:t>回复：入罐前对粗苯中的杂质设置过滤设施，入罐前不设置脱水设施。储罐按要求设置自动和手动脱水设施用于沉淀脱水、脱渣。</w:t>
      </w:r>
    </w:p>
    <w:p w14:paraId="7A6FC848">
      <w:pPr>
        <w:spacing w:line="360" w:lineRule="auto"/>
        <w:rPr>
          <w:sz w:val="24"/>
          <w:szCs w:val="24"/>
        </w:rPr>
      </w:pPr>
    </w:p>
    <w:p w14:paraId="0267A6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</w:pPr>
      <w:r>
        <w:rPr>
          <w:rFonts w:hint="eastAsia" w:ascii="宋体" w:hAnsi="宋体" w:cs="宋体"/>
          <w:b/>
          <w:bCs/>
          <w:sz w:val="28"/>
          <w:szCs w:val="28"/>
          <w:u w:val="none"/>
          <w:lang w:eastAsia="zh-CN"/>
        </w:rPr>
        <w:t>答疑回复三：</w:t>
      </w:r>
    </w:p>
    <w:p w14:paraId="020CA071">
      <w:pPr>
        <w:numPr>
          <w:ilvl w:val="0"/>
          <w:numId w:val="4"/>
        </w:numPr>
        <w:spacing w:line="360" w:lineRule="auto"/>
        <w:ind w:firstLine="480" w:firstLineChars="200"/>
        <w:jc w:val="left"/>
        <w:rPr>
          <w:rFonts w:hint="eastAsia" w:ascii="宋体" w:hAnsi="宋体" w:cs="宋体"/>
          <w:b w:val="0"/>
          <w:bCs/>
          <w:color w:val="000000" w:themeColor="text1"/>
          <w:kern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/>
          <w:color w:val="000000" w:themeColor="text1"/>
          <w:kern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项目概况与招标范围</w:t>
      </w:r>
    </w:p>
    <w:p w14:paraId="4A789ED9">
      <w:pPr>
        <w:numPr>
          <w:ilvl w:val="0"/>
          <w:numId w:val="0"/>
        </w:numPr>
        <w:spacing w:line="360" w:lineRule="auto"/>
        <w:ind w:firstLine="480" w:firstLineChars="200"/>
        <w:jc w:val="left"/>
        <w:rPr>
          <w:rFonts w:hint="eastAsia" w:ascii="宋体" w:hAnsi="宋体" w:cs="宋体"/>
          <w:b w:val="0"/>
          <w:bCs/>
          <w:color w:val="000000" w:themeColor="text1"/>
          <w:kern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/>
          <w:color w:val="000000" w:themeColor="text1"/>
          <w:kern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疑问：粗苯储销区内均为危险化学品，四周是否需要设置围墙及钢大门。</w:t>
      </w:r>
    </w:p>
    <w:p w14:paraId="5EC98226">
      <w:pPr>
        <w:numPr>
          <w:ilvl w:val="0"/>
          <w:numId w:val="0"/>
        </w:numPr>
        <w:spacing w:line="360" w:lineRule="auto"/>
        <w:ind w:firstLine="480" w:firstLineChars="200"/>
        <w:jc w:val="left"/>
        <w:rPr>
          <w:rFonts w:hint="eastAsia" w:ascii="宋体" w:hAnsi="宋体" w:cs="宋体"/>
          <w:b w:val="0"/>
          <w:bCs/>
          <w:color w:val="000000" w:themeColor="text1"/>
          <w:kern w:val="0"/>
          <w:sz w:val="24"/>
          <w:szCs w:val="24"/>
          <w:highlight w:val="yellow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/>
          <w:color w:val="000000" w:themeColor="text1"/>
          <w:kern w:val="0"/>
          <w:sz w:val="24"/>
          <w:szCs w:val="24"/>
          <w:highlight w:val="yellow"/>
          <w:lang w:val="en-US" w:eastAsia="zh-CN"/>
          <w14:textFill>
            <w14:solidFill>
              <w14:schemeClr w14:val="tx1"/>
            </w14:solidFill>
          </w14:textFill>
        </w:rPr>
        <w:t>回复：按规范设置围墙和全封闭式电动推拉门，并与油库周界人员侵入警报系统联控。</w:t>
      </w:r>
    </w:p>
    <w:p w14:paraId="50FDD8FF">
      <w:pPr>
        <w:numPr>
          <w:ilvl w:val="0"/>
          <w:numId w:val="0"/>
        </w:numPr>
        <w:spacing w:line="360" w:lineRule="auto"/>
        <w:ind w:firstLine="480" w:firstLineChars="200"/>
        <w:jc w:val="left"/>
        <w:rPr>
          <w:rFonts w:hint="eastAsia" w:ascii="宋体" w:hAnsi="宋体" w:cs="宋体"/>
          <w:b w:val="0"/>
          <w:bCs/>
          <w:color w:val="000000" w:themeColor="text1"/>
          <w:kern w:val="0"/>
          <w:sz w:val="24"/>
          <w:szCs w:val="24"/>
          <w:highlight w:val="yellow"/>
          <w:lang w:val="en-US" w:eastAsia="zh-CN"/>
          <w14:textFill>
            <w14:solidFill>
              <w14:schemeClr w14:val="tx1"/>
            </w14:solidFill>
          </w14:textFill>
        </w:rPr>
      </w:pPr>
    </w:p>
    <w:p w14:paraId="04EC75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jc w:val="righ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广西科联招标中心有限公司</w:t>
      </w:r>
    </w:p>
    <w:p w14:paraId="47F84E42">
      <w:pPr>
        <w:numPr>
          <w:ilvl w:val="0"/>
          <w:numId w:val="0"/>
        </w:numPr>
        <w:spacing w:line="360" w:lineRule="auto"/>
        <w:ind w:firstLine="560" w:firstLineChars="200"/>
        <w:jc w:val="right"/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2025年12月</w:t>
      </w:r>
      <w:r>
        <w:rPr>
          <w:rFonts w:hint="eastAsia" w:ascii="宋体" w:hAnsi="宋体" w:cs="宋体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15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  <w:t>日</w:t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4B1045C"/>
    <w:multiLevelType w:val="singleLevel"/>
    <w:tmpl w:val="E4B1045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E8EAEFB"/>
    <w:multiLevelType w:val="singleLevel"/>
    <w:tmpl w:val="0E8EAEFB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6F1934A"/>
    <w:multiLevelType w:val="singleLevel"/>
    <w:tmpl w:val="56F1934A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792E38D2"/>
    <w:multiLevelType w:val="singleLevel"/>
    <w:tmpl w:val="792E38D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D2141A"/>
    <w:rsid w:val="01273AB9"/>
    <w:rsid w:val="2BEB3C1D"/>
    <w:rsid w:val="3CCF60D3"/>
    <w:rsid w:val="3DFA2BBE"/>
    <w:rsid w:val="3F3228BB"/>
    <w:rsid w:val="4DE15652"/>
    <w:rsid w:val="4E493D7D"/>
    <w:rsid w:val="4F166E38"/>
    <w:rsid w:val="51D2141A"/>
    <w:rsid w:val="54B27E93"/>
    <w:rsid w:val="6DFF7482"/>
    <w:rsid w:val="6F045CAB"/>
    <w:rsid w:val="79FC5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1289</Words>
  <Characters>1416</Characters>
  <Lines>0</Lines>
  <Paragraphs>0</Paragraphs>
  <TotalTime>6</TotalTime>
  <ScaleCrop>false</ScaleCrop>
  <LinksUpToDate>false</LinksUpToDate>
  <CharactersWithSpaces>1418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2025-12-11T07:27:00Z</dcterms:created>
  <dc:creator>WSZ</dc:creator>
  <cp:lastModifiedBy>WSZ</cp:lastModifiedBy>
  <dcterms:modified xsi:type="dcterms:W3CDTF">2025-12-15T01:30:08Z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E9D3DF8AEC56415AB58738FFCDA99034_13</vt:lpwstr>
  </property>
  <property fmtid="{D5CDD505-2E9C-101B-9397-08002B2CF9AE}" pid="4" name="KSOTemplateDocerSaveRecord">
    <vt:lpwstr>eyJoZGlkIjoiMTVlZGI4ZTZkOTViZTA3MmIyNGFhYzY5MjQ1ZWM4NTQiLCJ1c2VySWQiOiIyNzgyMDc1NzIifQ==</vt:lpwstr>
  </property>
</Properties>
</file>