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07B456">
      <w:pPr>
        <w:keepNext w:val="0"/>
        <w:keepLines w:val="0"/>
        <w:pageBreakBefore w:val="0"/>
        <w:widowControl w:val="0"/>
        <w:kinsoku/>
        <w:wordWrap/>
        <w:overflowPunct/>
        <w:topLinePunct w:val="0"/>
        <w:autoSpaceDE/>
        <w:autoSpaceDN/>
        <w:bidi w:val="0"/>
        <w:adjustRightInd/>
        <w:snapToGrid/>
        <w:spacing w:before="95" w:beforeLines="30" w:after="95" w:afterLines="30"/>
        <w:jc w:val="center"/>
        <w:textAlignment w:val="auto"/>
        <w:rPr>
          <w:rFonts w:hint="eastAsia" w:ascii="宋体" w:hAnsi="宋体" w:eastAsia="宋体" w:cs="宋体"/>
          <w:b/>
          <w:bCs/>
          <w:color w:val="auto"/>
          <w:highlight w:val="none"/>
        </w:rPr>
      </w:pPr>
      <w:r>
        <w:rPr>
          <w:rFonts w:hint="eastAsia" w:ascii="宋体" w:hAnsi="宋体" w:cs="宋体"/>
          <w:b/>
          <w:bCs/>
          <w:color w:val="auto"/>
          <w:sz w:val="28"/>
          <w:szCs w:val="28"/>
          <w:highlight w:val="none"/>
          <w:lang w:val="en-US" w:eastAsia="zh-CN"/>
        </w:rPr>
        <w:t>2025年二焦产线技改项目—冷却塔安全节能改造工程（KLLGG252010）</w:t>
      </w:r>
      <w:r>
        <w:rPr>
          <w:rFonts w:hint="eastAsia" w:ascii="宋体" w:hAnsi="宋体" w:eastAsia="宋体" w:cs="宋体"/>
          <w:b/>
          <w:bCs/>
          <w:color w:val="auto"/>
          <w:sz w:val="28"/>
          <w:szCs w:val="28"/>
          <w:highlight w:val="none"/>
        </w:rPr>
        <w:t>招标公告</w:t>
      </w:r>
    </w:p>
    <w:p w14:paraId="1BDDA013">
      <w:pPr>
        <w:keepNext w:val="0"/>
        <w:keepLines w:val="0"/>
        <w:pageBreakBefore w:val="0"/>
        <w:widowControl w:val="0"/>
        <w:kinsoku/>
        <w:wordWrap/>
        <w:overflowPunct/>
        <w:topLinePunct w:val="0"/>
        <w:autoSpaceDE/>
        <w:autoSpaceDN/>
        <w:bidi w:val="0"/>
        <w:adjustRightInd/>
        <w:snapToGrid/>
        <w:spacing w:before="20" w:after="20" w:line="360" w:lineRule="exact"/>
        <w:textAlignment w:val="auto"/>
        <w:outlineLvl w:val="1"/>
        <w:rPr>
          <w:rFonts w:hint="eastAsia" w:ascii="宋体" w:hAnsi="宋体" w:eastAsia="宋体" w:cs="宋体"/>
          <w:b/>
          <w:bCs/>
          <w:color w:val="auto"/>
          <w:highlight w:val="none"/>
        </w:rPr>
      </w:pPr>
      <w:r>
        <w:rPr>
          <w:rFonts w:hint="eastAsia" w:ascii="宋体" w:hAnsi="宋体" w:eastAsia="宋体" w:cs="宋体"/>
          <w:b/>
          <w:bCs/>
          <w:color w:val="auto"/>
          <w:highlight w:val="none"/>
        </w:rPr>
        <w:t>1、招标条件</w:t>
      </w:r>
    </w:p>
    <w:p w14:paraId="54B3667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本招标项目</w:t>
      </w:r>
      <w:r>
        <w:rPr>
          <w:rFonts w:hint="eastAsia" w:ascii="宋体" w:hAnsi="宋体" w:cs="宋体"/>
          <w:color w:val="auto"/>
          <w:highlight w:val="none"/>
          <w:u w:val="single"/>
          <w:lang w:val="en-US" w:eastAsia="zh-CN"/>
        </w:rPr>
        <w:t>2025年二焦产线技改项目—冷却塔安全节能改造工程</w:t>
      </w:r>
      <w:r>
        <w:rPr>
          <w:rFonts w:hint="eastAsia" w:ascii="宋体" w:hAnsi="宋体" w:eastAsia="宋体" w:cs="宋体"/>
          <w:color w:val="auto"/>
          <w:highlight w:val="none"/>
          <w:u w:val="single"/>
        </w:rPr>
        <w:t>（项目编号：</w:t>
      </w:r>
      <w:r>
        <w:rPr>
          <w:rFonts w:hint="eastAsia" w:ascii="宋体" w:hAnsi="宋体" w:cs="宋体"/>
          <w:color w:val="auto"/>
          <w:highlight w:val="none"/>
          <w:u w:val="single"/>
          <w:lang w:val="en-US" w:eastAsia="zh-CN"/>
        </w:rPr>
        <w:t>KLLGG252010</w:t>
      </w:r>
      <w:r>
        <w:rPr>
          <w:rFonts w:hint="eastAsia" w:ascii="宋体" w:hAnsi="宋体" w:eastAsia="宋体" w:cs="宋体"/>
          <w:color w:val="auto"/>
          <w:highlight w:val="none"/>
          <w:u w:val="single"/>
        </w:rPr>
        <w:t>）</w:t>
      </w:r>
      <w:r>
        <w:rPr>
          <w:rFonts w:hint="eastAsia" w:ascii="宋体" w:hAnsi="宋体" w:eastAsia="宋体" w:cs="宋体"/>
          <w:color w:val="auto"/>
          <w:highlight w:val="none"/>
        </w:rPr>
        <w:t>，招标人为</w:t>
      </w:r>
      <w:r>
        <w:rPr>
          <w:rFonts w:hint="eastAsia" w:ascii="宋体" w:hAnsi="宋体" w:eastAsia="宋体" w:cs="宋体"/>
          <w:color w:val="auto"/>
          <w:highlight w:val="none"/>
          <w:u w:val="single"/>
        </w:rPr>
        <w:t>柳州钢铁股份有限公司</w:t>
      </w:r>
      <w:r>
        <w:rPr>
          <w:rFonts w:hint="eastAsia" w:ascii="宋体" w:hAnsi="宋体" w:eastAsia="宋体" w:cs="宋体"/>
          <w:color w:val="auto"/>
          <w:highlight w:val="none"/>
        </w:rPr>
        <w:t>，招标项目资金来自</w:t>
      </w:r>
      <w:r>
        <w:rPr>
          <w:rFonts w:hint="eastAsia" w:ascii="宋体" w:hAnsi="宋体" w:eastAsia="宋体" w:cs="宋体"/>
          <w:color w:val="auto"/>
          <w:highlight w:val="none"/>
          <w:u w:val="single"/>
        </w:rPr>
        <w:t>企业自筹</w:t>
      </w:r>
      <w:r>
        <w:rPr>
          <w:rFonts w:hint="eastAsia" w:ascii="宋体" w:hAnsi="宋体" w:eastAsia="宋体" w:cs="宋体"/>
          <w:color w:val="auto"/>
          <w:highlight w:val="none"/>
        </w:rPr>
        <w:t>，出资比例为</w:t>
      </w:r>
      <w:r>
        <w:rPr>
          <w:rFonts w:hint="eastAsia" w:ascii="宋体" w:hAnsi="宋体" w:eastAsia="宋体" w:cs="宋体"/>
          <w:color w:val="auto"/>
          <w:highlight w:val="none"/>
          <w:u w:val="single"/>
        </w:rPr>
        <w:t>100%</w:t>
      </w:r>
      <w:r>
        <w:rPr>
          <w:rFonts w:hint="eastAsia" w:ascii="宋体" w:hAnsi="宋体" w:eastAsia="宋体" w:cs="宋体"/>
          <w:color w:val="auto"/>
          <w:highlight w:val="none"/>
        </w:rPr>
        <w:t>。该项目已具备招标条件，现对☑勘察、☑设计、</w:t>
      </w:r>
      <w:r>
        <w:rPr>
          <w:rFonts w:hint="eastAsia" w:ascii="宋体" w:hAnsi="宋体" w:cs="宋体"/>
          <w:color w:val="auto"/>
          <w:highlight w:val="none"/>
          <w:lang w:eastAsia="zh-CN"/>
        </w:rPr>
        <w:sym w:font="Wingdings 2" w:char="0052"/>
      </w:r>
      <w:r>
        <w:rPr>
          <w:rFonts w:hint="eastAsia" w:ascii="宋体" w:hAnsi="宋体" w:eastAsia="宋体" w:cs="宋体"/>
          <w:color w:val="auto"/>
          <w:highlight w:val="none"/>
        </w:rPr>
        <w:t>采购、</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施工、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试运行、☑竣工验收进行公开招标。</w:t>
      </w:r>
    </w:p>
    <w:p w14:paraId="0D20BFAA">
      <w:pPr>
        <w:keepNext w:val="0"/>
        <w:keepLines w:val="0"/>
        <w:pageBreakBefore w:val="0"/>
        <w:widowControl w:val="0"/>
        <w:kinsoku/>
        <w:wordWrap/>
        <w:overflowPunct/>
        <w:topLinePunct w:val="0"/>
        <w:autoSpaceDE/>
        <w:autoSpaceDN/>
        <w:bidi w:val="0"/>
        <w:adjustRightInd/>
        <w:snapToGrid/>
        <w:spacing w:before="20" w:after="20" w:line="360" w:lineRule="exact"/>
        <w:textAlignment w:val="auto"/>
        <w:outlineLvl w:val="1"/>
        <w:rPr>
          <w:rFonts w:hint="eastAsia" w:ascii="宋体" w:hAnsi="宋体" w:eastAsia="宋体" w:cs="宋体"/>
          <w:b/>
          <w:bCs/>
          <w:color w:val="auto"/>
          <w:highlight w:val="none"/>
        </w:rPr>
      </w:pPr>
      <w:r>
        <w:rPr>
          <w:rFonts w:hint="eastAsia" w:ascii="宋体" w:hAnsi="宋体" w:eastAsia="宋体" w:cs="宋体"/>
          <w:b/>
          <w:bCs/>
          <w:color w:val="auto"/>
          <w:highlight w:val="none"/>
        </w:rPr>
        <w:t>2、项目概况与招标范围</w:t>
      </w:r>
    </w:p>
    <w:p w14:paraId="12DA22C8">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2.1建设地点：柳钢焦化厂</w:t>
      </w:r>
      <w:r>
        <w:rPr>
          <w:rFonts w:hint="eastAsia" w:ascii="宋体" w:hAnsi="宋体" w:eastAsia="宋体" w:cs="宋体"/>
          <w:color w:val="auto"/>
          <w:highlight w:val="none"/>
          <w:lang w:val="en-US" w:eastAsia="zh-CN"/>
        </w:rPr>
        <w:t xml:space="preserve">    </w:t>
      </w:r>
    </w:p>
    <w:p w14:paraId="5E0970F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2.2建设规模：</w:t>
      </w:r>
      <w:r>
        <w:rPr>
          <w:rFonts w:hint="eastAsia"/>
          <w:color w:val="auto"/>
          <w:highlight w:val="none"/>
        </w:rPr>
        <w:t>对柳钢焦化厂二系统凉水架进行更新改造</w:t>
      </w:r>
      <w:r>
        <w:rPr>
          <w:rFonts w:hint="eastAsia" w:ascii="宋体" w:hAnsi="宋体" w:eastAsia="宋体" w:cs="宋体"/>
          <w:color w:val="auto"/>
          <w:highlight w:val="none"/>
        </w:rPr>
        <w:t>。</w:t>
      </w:r>
    </w:p>
    <w:p w14:paraId="1F56EE46">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2.3计划工期：</w:t>
      </w:r>
      <w:r>
        <w:rPr>
          <w:rFonts w:hint="eastAsia" w:ascii="宋体" w:hAnsi="宋体" w:eastAsia="宋体" w:cs="宋体"/>
          <w:color w:val="auto"/>
          <w:highlight w:val="none"/>
          <w:u w:val="single"/>
        </w:rPr>
        <w:t>1</w:t>
      </w:r>
      <w:r>
        <w:rPr>
          <w:rFonts w:hint="eastAsia" w:ascii="宋体" w:hAnsi="宋体" w:cs="宋体"/>
          <w:color w:val="auto"/>
          <w:highlight w:val="none"/>
          <w:u w:val="single"/>
          <w:lang w:val="en-US" w:eastAsia="zh-CN"/>
        </w:rPr>
        <w:t>8</w:t>
      </w:r>
      <w:r>
        <w:rPr>
          <w:rFonts w:hint="eastAsia" w:ascii="宋体" w:hAnsi="宋体" w:eastAsia="宋体" w:cs="宋体"/>
          <w:color w:val="auto"/>
          <w:highlight w:val="none"/>
          <w:u w:val="single"/>
        </w:rPr>
        <w:t>0日历天</w:t>
      </w:r>
      <w:r>
        <w:rPr>
          <w:rFonts w:hint="eastAsia"/>
          <w:color w:val="auto"/>
          <w:highlight w:val="none"/>
        </w:rPr>
        <w:t>（工期从招标人签发开工令要求的开工日期起算）</w:t>
      </w:r>
      <w:r>
        <w:rPr>
          <w:rFonts w:hint="eastAsia"/>
          <w:color w:val="auto"/>
          <w:highlight w:val="none"/>
          <w:lang w:eastAsia="zh-CN"/>
        </w:rPr>
        <w:t>。</w:t>
      </w:r>
    </w:p>
    <w:p w14:paraId="5C3527FD">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2.4招标范围</w:t>
      </w:r>
      <w:r>
        <w:rPr>
          <w:rFonts w:hint="eastAsia" w:ascii="宋体" w:hAnsi="宋体" w:cs="宋体"/>
          <w:color w:val="auto"/>
          <w:highlight w:val="none"/>
          <w:lang w:eastAsia="zh-CN"/>
        </w:rPr>
        <w:t>：</w:t>
      </w:r>
      <w:r>
        <w:rPr>
          <w:rFonts w:hint="eastAsia" w:ascii="宋体" w:hAnsi="宋体" w:eastAsia="宋体" w:cs="宋体"/>
          <w:color w:val="auto"/>
          <w:highlight w:val="none"/>
        </w:rPr>
        <w:t>项目工程采用EPC（总承包）交钥匙方式：按招标人提供的本项目相关资料、技术要求及工程范围，完成详勘，利旧设施可靠性的鉴定或检测、初步设计、施工设计、设备材料（含工辅料等）采购、建筑（含相应地基处理、桩基工程（若有）界区内地坪、道路、建设垃圾处置等）与安装工程施工、培训、调试、缺陷整改、性能考核与工程验收、竣工验收、交付使用全程业务；并对工程项目管理、质量、安全、工期、消防、环保、防雷、资产清册及资料归档等全面负责，最终向招标人提交一个满足技术要求和使用性能、质量合格、安全可靠的工程。</w:t>
      </w:r>
    </w:p>
    <w:p w14:paraId="3C29C3F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宋体" w:hAnsi="宋体" w:cs="宋体"/>
          <w:color w:val="auto"/>
          <w:highlight w:val="none"/>
          <w:lang w:eastAsia="zh-CN"/>
          <w:woUserID w:val="1"/>
        </w:rPr>
      </w:pPr>
      <w:r>
        <w:rPr>
          <w:rFonts w:hint="eastAsia" w:ascii="宋体" w:hAnsi="宋体" w:cs="宋体"/>
          <w:color w:val="auto"/>
          <w:highlight w:val="none"/>
          <w:lang w:eastAsia="zh-CN"/>
        </w:rPr>
        <w:t>拟在柳钢焦化厂化产车间二供水系统原址进行冷却塔节能改造，在保证实现降温幅度不低于原冷却塔降温标准，引进节能、节水型新型冷却塔，以降低能耗、水耗。计划在保证不停机运行的情况下，对现有冷却塔设备进行逐台拆除和新装新设备。为避免影响正常生产，拟在冷却水需求量少的冬季</w:t>
      </w:r>
      <w:r>
        <w:rPr>
          <w:rFonts w:hint="eastAsia" w:ascii="宋体" w:hAnsi="宋体" w:cs="宋体"/>
          <w:color w:val="auto"/>
          <w:highlight w:val="none"/>
          <w:lang w:eastAsia="zh-CN"/>
        </w:rPr>
        <w:t>（</w:t>
      </w:r>
      <w:r>
        <w:rPr>
          <w:rFonts w:hint="eastAsia" w:ascii="宋体" w:hAnsi="宋体" w:cs="宋体"/>
          <w:color w:val="auto"/>
          <w:highlight w:val="none"/>
          <w:lang w:eastAsia="zh-CN"/>
        </w:rPr>
        <w:t>1</w:t>
      </w:r>
      <w:r>
        <w:rPr>
          <w:rFonts w:hint="eastAsia" w:ascii="宋体" w:hAnsi="宋体" w:cs="宋体"/>
          <w:color w:val="auto"/>
          <w:highlight w:val="none"/>
          <w:lang w:eastAsia="zh-CN"/>
        </w:rPr>
        <w:t>月～</w:t>
      </w:r>
      <w:r>
        <w:rPr>
          <w:rFonts w:hint="eastAsia" w:ascii="宋体" w:hAnsi="宋体" w:cs="宋体"/>
          <w:color w:val="auto"/>
          <w:highlight w:val="none"/>
          <w:lang w:val="en-US" w:eastAsia="zh-CN"/>
        </w:rPr>
        <w:t>3</w:t>
      </w:r>
      <w:r>
        <w:rPr>
          <w:rFonts w:hint="eastAsia" w:ascii="宋体" w:hAnsi="宋体" w:cs="宋体"/>
          <w:color w:val="auto"/>
          <w:highlight w:val="none"/>
          <w:lang w:eastAsia="zh-CN"/>
        </w:rPr>
        <w:t>月中旬）</w:t>
      </w:r>
      <w:r>
        <w:rPr>
          <w:rFonts w:hint="eastAsia" w:ascii="宋体" w:hAnsi="宋体" w:cs="宋体"/>
          <w:color w:val="auto"/>
          <w:highlight w:val="none"/>
          <w:lang w:eastAsia="zh-CN"/>
        </w:rPr>
        <w:t>进行施工，拆除二系统部分停机状态的冷却塔，再在原地建设新冷却塔</w:t>
      </w:r>
      <w:r>
        <w:rPr>
          <w:rFonts w:hint="default" w:ascii="宋体" w:hAnsi="宋体" w:cs="宋体"/>
          <w:color w:val="auto"/>
          <w:highlight w:val="none"/>
          <w:lang w:eastAsia="zh-CN"/>
          <w:woUserID w:val="2"/>
        </w:rPr>
        <w:t>，同时</w:t>
      </w:r>
      <w:r>
        <w:rPr>
          <w:rFonts w:hint="default" w:ascii="宋体" w:hAnsi="宋体" w:cs="宋体"/>
          <w:color w:val="auto"/>
          <w:highlight w:val="none"/>
          <w:lang w:eastAsia="zh-CN"/>
          <w:woUserID w:val="1"/>
        </w:rPr>
        <w:t>要求投标人对利旧基础及设施的可靠性进行鉴定或检测，并进行相关设计、施工，确保以满足新冷却塔配套设备安装设计要求，涉及费用包含在</w:t>
      </w:r>
      <w:r>
        <w:rPr>
          <w:rFonts w:hint="eastAsia" w:ascii="宋体" w:hAnsi="宋体" w:cs="宋体"/>
          <w:color w:val="auto"/>
          <w:highlight w:val="none"/>
          <w:lang w:val="en-US" w:eastAsia="zh-CN"/>
          <w:woUserID w:val="1"/>
        </w:rPr>
        <w:t>投标报价中</w:t>
      </w:r>
      <w:r>
        <w:rPr>
          <w:rFonts w:hint="default" w:ascii="宋体" w:hAnsi="宋体" w:cs="宋体"/>
          <w:color w:val="auto"/>
          <w:highlight w:val="none"/>
          <w:lang w:eastAsia="zh-CN"/>
          <w:woUserID w:val="1"/>
        </w:rPr>
        <w:t>。</w:t>
      </w:r>
    </w:p>
    <w:p w14:paraId="411F875C">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eastAsia="zh-CN"/>
        </w:rPr>
      </w:pPr>
      <w:r>
        <w:rPr>
          <w:rFonts w:hint="eastAsia" w:ascii="宋体" w:hAnsi="宋体" w:cs="宋体"/>
          <w:color w:val="auto"/>
          <w:highlight w:val="none"/>
          <w:lang w:eastAsia="zh-CN"/>
        </w:rPr>
        <w:t>2.4.1：无填料射流喷淋节能冷却塔</w:t>
      </w:r>
    </w:p>
    <w:p w14:paraId="638058BD">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eastAsia="zh-CN"/>
        </w:rPr>
      </w:pPr>
      <w:r>
        <w:rPr>
          <w:rFonts w:hint="eastAsia" w:ascii="宋体" w:hAnsi="宋体" w:cs="宋体"/>
          <w:color w:val="auto"/>
          <w:highlight w:val="none"/>
          <w:lang w:eastAsia="zh-CN"/>
        </w:rPr>
        <w:t>2.4.1.1：拟将原机力通风填料塔（3x1400+1x2500）m³/h ，改造为（3x1400+ 1x2500）m³/h “无填料射流喷淋节能冷却塔”，采用直驱风机调控及射流喷淋组合降温形式，保证上段冷却塔在夏季时的降温能力，并保持稳定不会逐年衰减。在满足生产降温需求的同时，直驱电机调控风机，在过渡季节和冬季，可调节冷却塔的冷却能力，将“不必要的蒸发损失”减少，能够持续降低运行电费成本、水损失成本和维护费用，助力安全高效生产发展。</w:t>
      </w:r>
    </w:p>
    <w:p w14:paraId="2A6B5917">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eastAsia="zh-CN"/>
        </w:rPr>
        <w:t>2.4.1.2：拟拆除焦化厂二供水凉水塔钢构及内部填料后在原址更新改造，将冷却风机改为直驱节能型电机，新安装 “无填料射流喷淋节能冷却塔”。考虑到冷却塔周围的环境，冷却塔整体钢结构（包括顶部的栏杆及上塔步梯）采用 304 不锈钢材质</w:t>
      </w:r>
      <w:r>
        <w:rPr>
          <w:rFonts w:hint="eastAsia" w:ascii="宋体" w:hAnsi="宋体" w:cs="宋体"/>
          <w:color w:val="auto"/>
          <w:highlight w:val="none"/>
          <w:lang w:val="en-US" w:eastAsia="zh-CN"/>
        </w:rPr>
        <w:t>（含配套螺杆套件）</w:t>
      </w:r>
      <w:r>
        <w:rPr>
          <w:rFonts w:hint="eastAsia" w:ascii="宋体" w:hAnsi="宋体" w:cs="宋体"/>
          <w:color w:val="auto"/>
          <w:highlight w:val="none"/>
          <w:lang w:eastAsia="zh-CN"/>
        </w:rPr>
        <w:t>，冷却塔钢平台及塔壁四周及布水管采用玻璃钢材质材料，布水管道喷头采用 ABS 工程塑料，收水器采用 PVC 材料。</w:t>
      </w:r>
      <w:r>
        <w:rPr>
          <w:rFonts w:hint="eastAsia" w:ascii="宋体" w:hAnsi="宋体" w:eastAsia="宋体" w:cs="宋体"/>
          <w:color w:val="auto"/>
          <w:highlight w:val="none"/>
          <w:lang w:val="en-US" w:eastAsia="zh-CN"/>
        </w:rPr>
        <w:t xml:space="preserve">  </w:t>
      </w:r>
    </w:p>
    <w:p w14:paraId="1D6EB537">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drawing>
          <wp:anchor distT="0" distB="0" distL="114300" distR="114300" simplePos="0" relativeHeight="251659264" behindDoc="0" locked="0" layoutInCell="1" allowOverlap="1">
            <wp:simplePos x="0" y="0"/>
            <wp:positionH relativeFrom="column">
              <wp:posOffset>-87630</wp:posOffset>
            </wp:positionH>
            <wp:positionV relativeFrom="paragraph">
              <wp:posOffset>243205</wp:posOffset>
            </wp:positionV>
            <wp:extent cx="5447665" cy="2160270"/>
            <wp:effectExtent l="0" t="0" r="635" b="11430"/>
            <wp:wrapTopAndBottom/>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4"/>
                    <a:stretch>
                      <a:fillRect/>
                    </a:stretch>
                  </pic:blipFill>
                  <pic:spPr>
                    <a:xfrm>
                      <a:off x="0" y="0"/>
                      <a:ext cx="5447665" cy="2160270"/>
                    </a:xfrm>
                    <a:prstGeom prst="rect">
                      <a:avLst/>
                    </a:prstGeom>
                  </pic:spPr>
                </pic:pic>
              </a:graphicData>
            </a:graphic>
          </wp:anchor>
        </w:drawing>
      </w:r>
      <w:r>
        <w:rPr>
          <w:rFonts w:hint="eastAsia" w:ascii="宋体" w:hAnsi="宋体" w:eastAsia="宋体" w:cs="宋体"/>
          <w:b/>
          <w:bCs/>
          <w:color w:val="auto"/>
          <w:kern w:val="2"/>
          <w:sz w:val="21"/>
          <w:szCs w:val="24"/>
          <w:highlight w:val="none"/>
          <w:lang w:val="en-US" w:eastAsia="zh-CN" w:bidi="ar-SA"/>
        </w:rPr>
        <w:t>图一：</w:t>
      </w:r>
      <w:r>
        <w:rPr>
          <w:rFonts w:hint="eastAsia" w:ascii="宋体" w:hAnsi="宋体" w:eastAsia="宋体" w:cs="宋体"/>
          <w:color w:val="auto"/>
          <w:kern w:val="2"/>
          <w:sz w:val="21"/>
          <w:szCs w:val="24"/>
          <w:highlight w:val="none"/>
          <w:lang w:val="en-US" w:eastAsia="zh-CN" w:bidi="ar-SA"/>
        </w:rPr>
        <w:t>无填料射流喷淋节能冷却塔设计简图</w:t>
      </w:r>
      <w:bookmarkStart w:id="5" w:name="_GoBack"/>
      <w:bookmarkEnd w:id="5"/>
    </w:p>
    <w:p w14:paraId="6582EAAB">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2.4.1.3图一中包含防护栏、75KW 风机（工艺 1）、75KW 风机（工艺 2）、75KW 风机（工艺 3）、90KW 风机（制冷）、收水器、风筒、喷雾系统、水池等。所有的尺寸标注为（毫米）等。</w:t>
      </w:r>
    </w:p>
    <w:p w14:paraId="1C94329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2.4.1.4设备方案</w:t>
      </w:r>
    </w:p>
    <w:p w14:paraId="29124EC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2.4.1.4.1无填料射流喷淋节能冷却塔主材清单</w:t>
      </w:r>
    </w:p>
    <w:tbl>
      <w:tblPr>
        <w:tblStyle w:val="2"/>
        <w:tblpPr w:leftFromText="180" w:rightFromText="180" w:vertAnchor="text" w:tblpX="-21" w:tblpY="23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 w:type="dxa"/>
          <w:bottom w:w="0" w:type="dxa"/>
          <w:right w:w="10" w:type="dxa"/>
        </w:tblCellMar>
      </w:tblPr>
      <w:tblGrid>
        <w:gridCol w:w="933"/>
        <w:gridCol w:w="2397"/>
        <w:gridCol w:w="2379"/>
        <w:gridCol w:w="1151"/>
        <w:gridCol w:w="973"/>
        <w:gridCol w:w="2153"/>
      </w:tblGrid>
      <w:tr w14:paraId="7E94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AB52958">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序号</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FD8E0F2">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名称</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861D973">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规格型号</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57F1BFD0">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单位</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4A2527F3">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数量</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47E55383">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备注</w:t>
            </w:r>
          </w:p>
        </w:tc>
      </w:tr>
      <w:tr w14:paraId="288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3E54CE34">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1</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2DEC6D57">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直驱电机</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5726E673">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75Kw/90Kw</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78DDF3E8">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台</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38C9BACD">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4</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5E75457">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75Kw三台90Kw一台配套相应电器元件，电气元件推荐使用施耐德、ABB、西门子最新系列产品。</w:t>
            </w:r>
          </w:p>
        </w:tc>
      </w:tr>
      <w:tr w14:paraId="2DD6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02A9F8F">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2</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3887F43A">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风扇</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9B57380">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F77</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2DACA26C">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台</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1BC9827E">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4</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5DD7042">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p>
        </w:tc>
      </w:tr>
      <w:tr w14:paraId="077A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72E1D5C6">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3</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340BC2CF">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玻璃钢风筒</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47D51EF1">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Ø7760</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926CF7F">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只</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3938A877">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4</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2BBC803F">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FRP</w:t>
            </w:r>
          </w:p>
        </w:tc>
      </w:tr>
      <w:tr w14:paraId="58193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7495DD88">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4</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7D84AC7B">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布水管支撑</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1D7D6647">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5D898DF0">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A6935CC">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5948E631">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p>
        </w:tc>
      </w:tr>
      <w:tr w14:paraId="304E2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D28F98B">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5</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1448F2A9">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收水器</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5B8FB43D">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S160-45</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3371CFEA">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19405A74">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576</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2FD98B0E">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PVC</w:t>
            </w:r>
          </w:p>
        </w:tc>
      </w:tr>
      <w:tr w14:paraId="3C535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CCA07E3">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6</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74BB78C9">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塔内布水管、管件</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5771584D">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Q=6700m³/h</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1D0178B0">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套</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AD4AD83">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1</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1585F0A">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FRP</w:t>
            </w:r>
          </w:p>
        </w:tc>
      </w:tr>
      <w:tr w14:paraId="1C06F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24AFE258">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7</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B0DD563">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喷头</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16EF7A8">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SP-Φ18</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1C0D1A74">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个</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3B91602">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1200</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7A8D0BA">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ABS</w:t>
            </w:r>
          </w:p>
        </w:tc>
      </w:tr>
      <w:tr w14:paraId="3C85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2CF3AB17">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8</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7974F8A4">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组合式钢制框架塔体</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7A3F8F00">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12m×12m×9m</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2F16D1D7">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套</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47E17474">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4</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453D63C6">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304 钢材</w:t>
            </w:r>
          </w:p>
        </w:tc>
      </w:tr>
      <w:tr w14:paraId="514E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A95A479">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9</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1139007">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塔壁四周围板</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1F025138">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大块状组合（带梯形筋）</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5CF8A639">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套</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4862CF6">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4</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77F9C3F2">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玻璃钢 FRP</w:t>
            </w:r>
          </w:p>
        </w:tc>
      </w:tr>
      <w:tr w14:paraId="041A5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CC48571">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10</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30F04A0C">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塔顶玻璃钢花纹板（带防滑纹）</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A0C2986">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块状组合</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3AD1959">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套</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82E3501">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4</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1F573C4B">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玻璃钢 FRP</w:t>
            </w:r>
          </w:p>
        </w:tc>
      </w:tr>
      <w:tr w14:paraId="1FBF2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4C7043BE">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11</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13E7D19A">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通风口导流板</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70527111">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块状组合</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7F64D22B">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套</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75D9A58F">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4</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2EE6C4B">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玻璃钢 FRP</w:t>
            </w:r>
          </w:p>
        </w:tc>
      </w:tr>
      <w:tr w14:paraId="4D785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3321190D">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12</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D6F56D8">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塔顶栏杆、上塔步梯</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4C76B632">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型材组合</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3224632F">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套</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3D4BECDE">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1</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0DF62AB7">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304 钢材</w:t>
            </w:r>
          </w:p>
        </w:tc>
      </w:tr>
      <w:tr w14:paraId="58447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20466FB8">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13</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DBA89BC">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附件</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397CC202">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紧固件、连接件</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430018E3">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批</w:t>
            </w: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B4D3D49">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4</w:t>
            </w: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59FB3A2D">
            <w:pPr>
              <w:keepNext w:val="0"/>
              <w:keepLines w:val="0"/>
              <w:suppressLineNumbers w:val="0"/>
              <w:spacing w:before="0" w:beforeAutospacing="0" w:after="0" w:afterAutospacing="0"/>
              <w:ind w:left="0" w:right="0"/>
              <w:jc w:val="center"/>
              <w:rPr>
                <w:rFonts w:hint="eastAsia" w:ascii="宋体" w:hAnsi="宋体" w:eastAsia="宋体" w:cs="宋体"/>
                <w:bCs/>
                <w:color w:val="auto"/>
                <w:kern w:val="2"/>
                <w:sz w:val="21"/>
                <w:szCs w:val="21"/>
                <w:highlight w:val="none"/>
              </w:rPr>
            </w:pPr>
            <w:r>
              <w:rPr>
                <w:rFonts w:hint="eastAsia" w:ascii="宋体" w:hAnsi="宋体" w:eastAsia="宋体" w:cs="宋体"/>
                <w:color w:val="auto"/>
                <w:highlight w:val="none"/>
              </w:rPr>
              <w:t>304 钢材</w:t>
            </w:r>
          </w:p>
        </w:tc>
      </w:tr>
      <w:tr w14:paraId="40E21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19C0AAD3">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14</w:t>
            </w:r>
          </w:p>
        </w:tc>
        <w:tc>
          <w:tcPr>
            <w:tcW w:w="1200"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1581AEB2">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电缆</w:t>
            </w:r>
          </w:p>
        </w:tc>
        <w:tc>
          <w:tcPr>
            <w:tcW w:w="1191"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272CDBEA">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原电缆同步进行拆除，新安装电缆配套现场照明、直驱电机</w:t>
            </w:r>
          </w:p>
        </w:tc>
        <w:tc>
          <w:tcPr>
            <w:tcW w:w="576"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6283350F">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auto"/>
                <w:highlight w:val="none"/>
              </w:rPr>
            </w:pPr>
          </w:p>
        </w:tc>
        <w:tc>
          <w:tcPr>
            <w:tcW w:w="487"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473D9E9D">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auto"/>
                <w:highlight w:val="none"/>
              </w:rPr>
            </w:pPr>
          </w:p>
        </w:tc>
        <w:tc>
          <w:tcPr>
            <w:tcW w:w="1078" w:type="pct"/>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14:paraId="51DCAE5B">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包含动力电缆约800米，控制电缆约2000m，以现场测量为准。</w:t>
            </w:r>
          </w:p>
        </w:tc>
      </w:tr>
    </w:tbl>
    <w:p w14:paraId="5DD5FBE8">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2.4.1.5：工程方案</w:t>
      </w:r>
    </w:p>
    <w:p w14:paraId="65D515FC">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2.4.1.5.1：施工方案</w:t>
      </w:r>
    </w:p>
    <w:p w14:paraId="4C1B7B7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1）本次新建包含 4 台（工艺 3 台，制冷 1 台）钢框架结构冷却塔，冷却塔处理水量分别为 1400m³/h×3 台（工艺循环水系统）、2500m³/h×1 台（制冷水系统），冷却塔均采用水池收水，水池利旧原有水池。</w:t>
      </w:r>
    </w:p>
    <w:p w14:paraId="71D3C772">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2）新建冷却塔共计 4 台，塔体立柱、各层横梁及支架等均采用 304 不锈钢制作，塔顶楼板、布水管道及四周维护均采用玻璃钢制作。</w:t>
      </w:r>
    </w:p>
    <w:p w14:paraId="68422A3A">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3）拆除和新建施工期间，采用不停机方式进行，原系统正常运行，先将端头的 1# 工艺水冷却塔进行停水停电，然后拆除该冷却塔，拆除方式为保护性拆除（破坏性拆除会导致其他塔受力不均使塔体产生摇晃，严重时可能会造成冷却塔倾倒），之后在原水池上新建新的冷却塔，拆除并新建完成后，开水运行。</w:t>
      </w:r>
    </w:p>
    <w:p w14:paraId="7AD04F57">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4）此后，再分别将相邻的 2# 塔进行拆除和新建，流程与1# 塔相同。本次新建冷却塔的施工顺序为：拆除 1# 塔→新建 1# 塔→拆除 2# 塔→新建 2# 塔→拆除 3# 塔→新建 3# 塔→拆除 4# 塔（冬季停机时）→新建 4# 塔。通过这种方式，本次拆除新建冷却塔能在循环水系统正常运行中完成，无需关停整个系统。</w:t>
      </w:r>
    </w:p>
    <w:p w14:paraId="6DD1D74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2.5项目拆除的设备设施，无利旧价值的金属类按柳钢焦化厂要求的尺寸切割分解，打包装车运至招标人指定地过磅，磅单交柳钢焦化厂。其他拆除建筑废弃物、耐材等打包装车运至柳钢焦化厂外合法接受点，所产生的环保责任与招标人无关，清理时间要在招标人要求的时间内完成，费用包含在投标报价内；有利旧价值的做保护性拆除并转运至招标人指定地点；保护性拆除线缆（动力及控制电缆等）及附属配套设施（桥架、支架）的范围由招标人确定；建设时需要暂时拆除设备设施的原样恢复；拆、运、装、卸、恢复等费用包含在投标报价中。</w:t>
      </w:r>
    </w:p>
    <w:p w14:paraId="4304B8B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2.6项目所需水、电、风、气、排（污、雨）水等公辅设施由招标人根据现场情况指定，如需单独设置由投标人自行考虑。</w:t>
      </w:r>
    </w:p>
    <w:p w14:paraId="59FCC2BB">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2.7项目相关措施费：高空作业搭设脚手架、煤气区域一氧化碳报警仪、受限空间氧气报警仪、劳保用品由承包人自行准备，需要高处作业人员须取得高空作业证，煤气区域施工需要作业人员取得煤气作业证，施工与生产区域隔离、施工时间不涉及同步检修、抢工，施工过程中由于施工方原因造成其它设备设施及排水沟、绿化、电缆沟盖板等损坏，需恢复原状。</w:t>
      </w:r>
    </w:p>
    <w:p w14:paraId="23DAC3A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2.8承包人负责为所有从业人员办理工伤社会保险，并根据需要为从事高度危险工作的人员购买适当的人身意外伤害保险，并承担相应责任。</w:t>
      </w:r>
    </w:p>
    <w:p w14:paraId="1AB4CD4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2.9焦化厂属于危化品生产单位，安全管理较严苛，双休日、节假日期间，原则上暂停一切非必要的危险作业(包括高处作业、动火作业、受限空间作业、吊装作业、盲板抽堵作业、临时用电作业、断路作业、动土作业等),由此给承包人带来的窝工损失费用，包含在投标报价中。承包人不能以招标人管理严苛为由消极怠工，一旦中标，承包人须按合同要求在规定期限内完成施工任务。若确实需要安排作业的，应当提级审批并加强现场监护，属地单位领导要到场开展监督检查，落实检修安全责任，严防事故发生。因双休日、节假日期间暂停施工的，计入总工期。            </w:t>
      </w:r>
    </w:p>
    <w:p w14:paraId="042BDE79">
      <w:pPr>
        <w:keepNext w:val="0"/>
        <w:keepLines w:val="0"/>
        <w:pageBreakBefore w:val="0"/>
        <w:widowControl w:val="0"/>
        <w:kinsoku/>
        <w:wordWrap/>
        <w:overflowPunct/>
        <w:topLinePunct w:val="0"/>
        <w:autoSpaceDE/>
        <w:autoSpaceDN/>
        <w:bidi w:val="0"/>
        <w:adjustRightInd/>
        <w:snapToGrid/>
        <w:spacing w:before="20" w:after="20" w:line="360" w:lineRule="exact"/>
        <w:textAlignment w:val="auto"/>
        <w:outlineLvl w:val="1"/>
        <w:rPr>
          <w:rFonts w:hint="eastAsia" w:ascii="宋体" w:hAnsi="宋体" w:eastAsia="宋体" w:cs="宋体"/>
          <w:b/>
          <w:bCs/>
          <w:color w:val="auto"/>
          <w:highlight w:val="none"/>
        </w:rPr>
      </w:pPr>
      <w:r>
        <w:rPr>
          <w:rFonts w:hint="eastAsia" w:ascii="宋体" w:hAnsi="宋体" w:eastAsia="宋体" w:cs="宋体"/>
          <w:b/>
          <w:bCs/>
          <w:color w:val="auto"/>
          <w:highlight w:val="none"/>
        </w:rPr>
        <w:t>3、投标人资格要求</w:t>
      </w:r>
    </w:p>
    <w:p w14:paraId="56184E4B">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color w:val="auto"/>
          <w:highlight w:val="none"/>
        </w:rPr>
      </w:pPr>
      <w:r>
        <w:rPr>
          <w:rFonts w:hint="eastAsia" w:ascii="宋体" w:hAnsi="宋体" w:eastAsia="宋体" w:cs="宋体"/>
          <w:color w:val="auto"/>
          <w:highlight w:val="none"/>
        </w:rPr>
        <w:t>3.1 资质要求（须同时满足）：</w:t>
      </w:r>
      <w:r>
        <w:rPr>
          <w:rFonts w:hint="eastAsia"/>
          <w:color w:val="auto"/>
          <w:highlight w:val="none"/>
        </w:rPr>
        <w:t>①具有国内法人资格，具有有效的安全生产许可证，并在人员、设备、资金等方面具备相应的能力；②具备工程设计冶金行业</w:t>
      </w:r>
      <w:r>
        <w:rPr>
          <w:rFonts w:hint="eastAsia"/>
          <w:color w:val="auto"/>
          <w:highlight w:val="none"/>
          <w:lang w:val="en-US" w:eastAsia="zh-CN"/>
        </w:rPr>
        <w:t>乙</w:t>
      </w:r>
      <w:r>
        <w:rPr>
          <w:rFonts w:hint="eastAsia"/>
          <w:color w:val="auto"/>
          <w:highlight w:val="none"/>
        </w:rPr>
        <w:t>级（或以上）资质</w:t>
      </w:r>
      <w:r>
        <w:rPr>
          <w:rFonts w:hint="eastAsia"/>
          <w:color w:val="auto"/>
          <w:highlight w:val="none"/>
          <w:lang w:eastAsia="zh-CN"/>
        </w:rPr>
        <w:t>或环境工程设计专项（水污染防治工程）</w:t>
      </w:r>
      <w:r>
        <w:rPr>
          <w:rFonts w:hint="eastAsia"/>
          <w:color w:val="auto"/>
          <w:highlight w:val="none"/>
          <w:lang w:val="en-US" w:eastAsia="zh-CN"/>
        </w:rPr>
        <w:t>乙</w:t>
      </w:r>
      <w:r>
        <w:rPr>
          <w:rFonts w:hint="eastAsia"/>
          <w:color w:val="auto"/>
          <w:highlight w:val="none"/>
          <w:lang w:eastAsia="zh-CN"/>
        </w:rPr>
        <w:t>级（或以上）资质</w:t>
      </w:r>
      <w:r>
        <w:rPr>
          <w:rFonts w:hint="eastAsia"/>
          <w:color w:val="auto"/>
          <w:highlight w:val="none"/>
          <w:lang w:eastAsia="zh-CN"/>
        </w:rPr>
        <w:t>或工程设计综合甲级资质</w:t>
      </w:r>
      <w:r>
        <w:rPr>
          <w:rFonts w:hint="eastAsia"/>
          <w:color w:val="auto"/>
          <w:highlight w:val="none"/>
        </w:rPr>
        <w:t>；③具备机电工程施工总承包</w:t>
      </w:r>
      <w:r>
        <w:rPr>
          <w:rFonts w:hint="eastAsia"/>
          <w:color w:val="auto"/>
          <w:highlight w:val="none"/>
          <w:lang w:eastAsia="zh-CN"/>
        </w:rPr>
        <w:t>三</w:t>
      </w:r>
      <w:r>
        <w:rPr>
          <w:rFonts w:hint="eastAsia"/>
          <w:color w:val="auto"/>
          <w:highlight w:val="none"/>
        </w:rPr>
        <w:t>级（或以上）资质或建筑工程施工总承包</w:t>
      </w:r>
      <w:r>
        <w:rPr>
          <w:rFonts w:hint="eastAsia"/>
          <w:color w:val="auto"/>
          <w:highlight w:val="none"/>
          <w:lang w:eastAsia="zh-CN"/>
        </w:rPr>
        <w:t>三</w:t>
      </w:r>
      <w:r>
        <w:rPr>
          <w:rFonts w:hint="eastAsia"/>
          <w:color w:val="auto"/>
          <w:highlight w:val="none"/>
        </w:rPr>
        <w:t>级（或以上）资质或冶金工程施工总承包</w:t>
      </w:r>
      <w:r>
        <w:rPr>
          <w:rFonts w:hint="eastAsia"/>
          <w:color w:val="auto"/>
          <w:highlight w:val="none"/>
          <w:lang w:eastAsia="zh-CN"/>
        </w:rPr>
        <w:t>三</w:t>
      </w:r>
      <w:r>
        <w:rPr>
          <w:rFonts w:hint="eastAsia"/>
          <w:color w:val="auto"/>
          <w:highlight w:val="none"/>
        </w:rPr>
        <w:t>级（或以上）资质</w:t>
      </w:r>
      <w:r>
        <w:rPr>
          <w:rFonts w:hint="eastAsia"/>
          <w:color w:val="auto"/>
          <w:highlight w:val="none"/>
          <w:lang w:val="en-US" w:eastAsia="zh-CN"/>
        </w:rPr>
        <w:t>或</w:t>
      </w:r>
      <w:r>
        <w:rPr>
          <w:rFonts w:hint="eastAsia" w:ascii="宋体" w:hAnsi="宋体" w:eastAsia="宋体" w:cs="宋体"/>
          <w:i w:val="0"/>
          <w:iCs w:val="0"/>
          <w:caps w:val="0"/>
          <w:color w:val="auto"/>
          <w:spacing w:val="0"/>
          <w:sz w:val="21"/>
          <w:szCs w:val="21"/>
          <w:highlight w:val="none"/>
          <w:shd w:val="clear" w:fill="FFFFFF"/>
        </w:rPr>
        <w:t>环保工程专业承包三级（或以上）资质或钢结构工程专业承包三级（或以上）资质</w:t>
      </w:r>
      <w:r>
        <w:rPr>
          <w:rFonts w:hint="eastAsia"/>
          <w:color w:val="auto"/>
          <w:highlight w:val="none"/>
        </w:rPr>
        <w:t>。</w:t>
      </w:r>
    </w:p>
    <w:p w14:paraId="430F6F9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注：投标单位资质已改革的需符合《建设工程企业资质管理制度改革方案》（建市[2020]94号）相关规定的对应资质进行投标。</w:t>
      </w:r>
    </w:p>
    <w:p w14:paraId="7355035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3.2 财务要求：财务管理制度健全，没有处于被责令停业，财产被接管、冻结、破产状态。</w:t>
      </w:r>
    </w:p>
    <w:p w14:paraId="2C49648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3.3业绩要求：2018年1月1日起至投标截止时间止，投标人至少提供1个进出口水温温差≥10℃的冷却塔相关设计业绩。(以合同复印件、验收报告且能体现进出口水温温差等有效证明材料计算业绩，合同复印件须完整且有签署日期页、双方签字盖章页)</w:t>
      </w:r>
    </w:p>
    <w:p w14:paraId="5EA063CD">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信誉要求：①根据最高人民法院等9部门《关于在招标投标活动中对失信被执行人实施联合惩戒的通知》（法〔2016〕285号）规定，投标人不得为失信被执行人；②未被行政管理机关</w:t>
      </w:r>
      <w:r>
        <w:rPr>
          <w:rFonts w:hint="eastAsia" w:ascii="宋体" w:hAnsi="宋体" w:cs="宋体"/>
          <w:color w:val="auto"/>
          <w:highlight w:val="none"/>
          <w:lang w:eastAsia="zh-CN"/>
        </w:rPr>
        <w:t>在国家企业信用信息公示系统</w:t>
      </w:r>
      <w:r>
        <w:rPr>
          <w:rFonts w:hint="eastAsia" w:ascii="宋体" w:hAnsi="宋体" w:eastAsia="宋体" w:cs="宋体"/>
          <w:color w:val="auto"/>
          <w:highlight w:val="none"/>
        </w:rPr>
        <w:t>中列入严重违法失信企业名单。</w:t>
      </w:r>
    </w:p>
    <w:p w14:paraId="06D56FEC">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 xml:space="preserve"> 主要负责人员要求：</w:t>
      </w:r>
    </w:p>
    <w:p w14:paraId="782C1253">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工程总承包项目经理</w:t>
      </w:r>
      <w:r>
        <w:rPr>
          <w:rFonts w:hint="eastAsia" w:ascii="宋体" w:hAnsi="宋体" w:eastAsia="宋体" w:cs="宋体"/>
          <w:color w:val="auto"/>
          <w:highlight w:val="none"/>
        </w:rPr>
        <w:t>：具备</w:t>
      </w:r>
      <w:r>
        <w:rPr>
          <w:rFonts w:hint="eastAsia" w:ascii="宋体" w:hAnsi="宋体" w:cs="宋体"/>
          <w:color w:val="auto"/>
          <w:highlight w:val="none"/>
          <w:u w:val="single"/>
          <w:lang w:val="en-US" w:eastAsia="zh-CN"/>
        </w:rPr>
        <w:t>二</w:t>
      </w:r>
      <w:r>
        <w:rPr>
          <w:rFonts w:hint="eastAsia" w:ascii="宋体" w:hAnsi="宋体" w:eastAsia="宋体" w:cs="宋体"/>
          <w:color w:val="auto"/>
          <w:highlight w:val="none"/>
          <w:u w:val="single"/>
        </w:rPr>
        <w:t>级（或以上）注册建筑师</w:t>
      </w:r>
      <w:r>
        <w:rPr>
          <w:rFonts w:hint="eastAsia" w:ascii="宋体" w:hAnsi="宋体" w:eastAsia="宋体" w:cs="宋体"/>
          <w:color w:val="auto"/>
          <w:highlight w:val="none"/>
        </w:rPr>
        <w:t>或</w:t>
      </w:r>
      <w:r>
        <w:rPr>
          <w:rFonts w:hint="eastAsia" w:ascii="宋体" w:hAnsi="宋体" w:cs="宋体"/>
          <w:color w:val="auto"/>
          <w:highlight w:val="none"/>
          <w:u w:val="single"/>
          <w:lang w:val="en-US" w:eastAsia="zh-CN"/>
        </w:rPr>
        <w:t>二</w:t>
      </w:r>
      <w:r>
        <w:rPr>
          <w:rFonts w:hint="eastAsia" w:ascii="宋体" w:hAnsi="宋体" w:eastAsia="宋体" w:cs="宋体"/>
          <w:color w:val="auto"/>
          <w:highlight w:val="none"/>
          <w:u w:val="single"/>
        </w:rPr>
        <w:t>级（或以上）注册结构工程师</w:t>
      </w:r>
      <w:r>
        <w:rPr>
          <w:rFonts w:hint="eastAsia" w:ascii="宋体" w:hAnsi="宋体" w:eastAsia="宋体" w:cs="宋体"/>
          <w:color w:val="auto"/>
          <w:highlight w:val="none"/>
        </w:rPr>
        <w:t>或</w:t>
      </w:r>
      <w:r>
        <w:rPr>
          <w:rFonts w:hint="eastAsia" w:ascii="宋体" w:hAnsi="宋体" w:eastAsia="宋体" w:cs="宋体"/>
          <w:color w:val="auto"/>
          <w:highlight w:val="none"/>
          <w:u w:val="single"/>
        </w:rPr>
        <w:t>机电工程专业</w:t>
      </w:r>
      <w:r>
        <w:rPr>
          <w:rFonts w:hint="eastAsia" w:ascii="宋体" w:hAnsi="宋体" w:cs="宋体"/>
          <w:color w:val="auto"/>
          <w:highlight w:val="none"/>
          <w:u w:val="single"/>
          <w:lang w:val="en-US" w:eastAsia="zh-CN"/>
        </w:rPr>
        <w:t>二</w:t>
      </w:r>
      <w:r>
        <w:rPr>
          <w:rFonts w:hint="eastAsia" w:ascii="宋体" w:hAnsi="宋体" w:eastAsia="宋体" w:cs="宋体"/>
          <w:color w:val="auto"/>
          <w:highlight w:val="none"/>
          <w:u w:val="single"/>
        </w:rPr>
        <w:t>级（或以上）注册建造师</w:t>
      </w:r>
      <w:r>
        <w:rPr>
          <w:rFonts w:hint="eastAsia" w:ascii="宋体" w:hAnsi="宋体" w:eastAsia="宋体" w:cs="宋体"/>
          <w:color w:val="auto"/>
          <w:highlight w:val="none"/>
        </w:rPr>
        <w:t>或</w:t>
      </w:r>
      <w:r>
        <w:rPr>
          <w:rFonts w:hint="eastAsia" w:ascii="宋体" w:hAnsi="宋体" w:eastAsia="宋体" w:cs="宋体"/>
          <w:color w:val="auto"/>
          <w:highlight w:val="none"/>
          <w:u w:val="single"/>
        </w:rPr>
        <w:t>机电工程专业注册监理工程师资格，并具有高级（或以上）</w:t>
      </w:r>
      <w:r>
        <w:rPr>
          <w:rFonts w:hint="eastAsia" w:ascii="宋体" w:hAnsi="宋体" w:eastAsia="宋体" w:cs="宋体"/>
          <w:color w:val="auto"/>
          <w:highlight w:val="none"/>
        </w:rPr>
        <w:t>职称，参加本工程投标时没有在其他未完工项目担任项目总负责人，中标后至完工前也不得在其他项目担任项目总负责人。</w:t>
      </w:r>
    </w:p>
    <w:p w14:paraId="3B0D7DE7">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.2 项目设计负责人：具有</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中级</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（或以上）职称；参加本工程投标时没有在其他未完工项目担任设计负责人，中标后至完工前也不得在其他项目担任设计负责人。</w:t>
      </w:r>
    </w:p>
    <w:p w14:paraId="76BF486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.3 施工项目经理：具备</w:t>
      </w:r>
      <w:r>
        <w:rPr>
          <w:rFonts w:hint="eastAsia" w:ascii="宋体" w:hAnsi="宋体" w:eastAsia="宋体" w:cs="宋体"/>
          <w:color w:val="auto"/>
          <w:highlight w:val="none"/>
          <w:u w:val="single"/>
          <w:lang w:val="en-US" w:eastAsia="zh-CN"/>
        </w:rPr>
        <w:t xml:space="preserve"> 机电工程或建筑工程</w:t>
      </w:r>
      <w:r>
        <w:rPr>
          <w:rFonts w:hint="eastAsia" w:ascii="宋体" w:hAnsi="宋体" w:cs="宋体"/>
          <w:color w:val="auto"/>
          <w:highlight w:val="none"/>
          <w:u w:val="single"/>
          <w:lang w:val="en-US" w:eastAsia="zh-CN"/>
        </w:rPr>
        <w:t>二</w:t>
      </w:r>
      <w:r>
        <w:rPr>
          <w:rFonts w:hint="eastAsia" w:ascii="宋体" w:hAnsi="宋体" w:eastAsia="宋体" w:cs="宋体"/>
          <w:color w:val="auto"/>
          <w:highlight w:val="none"/>
          <w:u w:val="single"/>
          <w:lang w:val="en-US" w:eastAsia="zh-CN"/>
        </w:rPr>
        <w:t xml:space="preserve">级（或以上） </w:t>
      </w:r>
      <w:r>
        <w:rPr>
          <w:rFonts w:hint="eastAsia" w:ascii="宋体" w:hAnsi="宋体" w:eastAsia="宋体" w:cs="宋体"/>
          <w:color w:val="auto"/>
          <w:highlight w:val="none"/>
        </w:rPr>
        <w:t>注册建造师执业资格，具备有效安全生产考核合格证书（B类）；本项目不接受有在建、已中标未开工或已列为其他项目中标候选人第一名的建造师作为施工项目经理，中标后至本项目完工前也不得在其他项目担任施工项目经理。</w:t>
      </w:r>
    </w:p>
    <w:p w14:paraId="49C10967">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.4 专职安全员：须具备有效的安全生产考核合格证书（C类），人数符合住房和城乡建设部《建筑施工企业安全生产管理机构设置及专职安全生产管理人员配备办法》（建质〔2008〕91号）的规定不少于</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 xml:space="preserve">1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人。</w:t>
      </w:r>
    </w:p>
    <w:p w14:paraId="22E599A4">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注：以上人员不能为同一个人且必须为投标人本单位人员（提交投标截止日期前连续3个月在本单位的社保证明）。</w:t>
      </w:r>
    </w:p>
    <w:p w14:paraId="29DC042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 xml:space="preserve"> 本次招标接受联合体投标，联合体投标的，应满足下列要求：</w:t>
      </w:r>
    </w:p>
    <w:p w14:paraId="18EDF847">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.1 联合体各方均应符合“具有独立法人资格”、“具有独立承担民事责任的能力”的条件，其中施工单位须具备有效的安全生产许可证。</w:t>
      </w:r>
    </w:p>
    <w:p w14:paraId="70356947">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.2 联合体各方应当签订联合体协议书，其中联合体牵头人代表联合体各方成员负责投标和合同实施阶段的主办、协调工作，但联合体其他成员在投标、签约与履行合同过程中，仍负有连带的和各自的法律责任。</w:t>
      </w:r>
    </w:p>
    <w:p w14:paraId="7F81F5D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.3 组成联合体进行投标的设计或施工单位不得再以自己的名义单独参与同一标段的投标，也不得组成新的联合体参与同一标段的投标。</w:t>
      </w:r>
    </w:p>
    <w:p w14:paraId="4CB84346">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.4 联合体中有同类资质的企业按照联合体协议书分工承担相同工作的，应当按照资质等级较低的企业确定联合体资质等级。</w:t>
      </w:r>
    </w:p>
    <w:p w14:paraId="7117086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.5 联合体各方应分别在人员、设备、资金等方面具有承担本项目联合体协议书分工职责范围内的履约能力。</w:t>
      </w:r>
    </w:p>
    <w:p w14:paraId="6800D714">
      <w:pPr>
        <w:keepNext w:val="0"/>
        <w:keepLines w:val="0"/>
        <w:pageBreakBefore w:val="0"/>
        <w:widowControl w:val="0"/>
        <w:kinsoku/>
        <w:wordWrap/>
        <w:overflowPunct/>
        <w:topLinePunct w:val="0"/>
        <w:autoSpaceDE/>
        <w:autoSpaceDN/>
        <w:bidi w:val="0"/>
        <w:adjustRightInd/>
        <w:snapToGrid/>
        <w:spacing w:before="20" w:after="20" w:line="360" w:lineRule="exact"/>
        <w:textAlignment w:val="auto"/>
        <w:outlineLvl w:val="1"/>
        <w:rPr>
          <w:rFonts w:hint="eastAsia" w:ascii="宋体" w:hAnsi="宋体" w:eastAsia="宋体" w:cs="宋体"/>
          <w:b/>
          <w:bCs/>
          <w:color w:val="auto"/>
          <w:highlight w:val="none"/>
        </w:rPr>
      </w:pPr>
      <w:r>
        <w:rPr>
          <w:rFonts w:hint="eastAsia" w:ascii="宋体" w:hAnsi="宋体" w:eastAsia="宋体" w:cs="宋体"/>
          <w:b/>
          <w:bCs/>
          <w:color w:val="auto"/>
          <w:highlight w:val="none"/>
        </w:rPr>
        <w:t>4、招标文件的获取</w:t>
      </w:r>
    </w:p>
    <w:p w14:paraId="056A5E51">
      <w:pPr>
        <w:kinsoku w:val="0"/>
        <w:overflowPunct w:val="0"/>
        <w:spacing w:line="360" w:lineRule="exact"/>
        <w:ind w:firstLine="422" w:firstLineChars="200"/>
        <w:jc w:val="both"/>
        <w:outlineLvl w:val="9"/>
        <w:rPr>
          <w:rFonts w:hint="eastAsia" w:ascii="宋体" w:hAnsi="宋体" w:eastAsia="宋体" w:cs="宋体"/>
          <w:color w:val="auto"/>
          <w:kern w:val="2"/>
          <w:sz w:val="21"/>
          <w:highlight w:val="none"/>
          <w:lang w:val="en-US" w:eastAsia="zh-CN"/>
        </w:rPr>
      </w:pPr>
      <w:r>
        <w:rPr>
          <w:rFonts w:hint="eastAsia" w:ascii="宋体" w:hAnsi="宋体" w:eastAsia="宋体" w:cs="宋体"/>
          <w:b/>
          <w:bCs/>
          <w:color w:val="auto"/>
          <w:kern w:val="2"/>
          <w:sz w:val="21"/>
          <w:highlight w:val="none"/>
          <w:lang w:val="en-US" w:eastAsia="zh-CN"/>
        </w:rPr>
        <w:t>4.1 现场获取招标文件的方式：</w:t>
      </w:r>
      <w:r>
        <w:rPr>
          <w:rFonts w:hint="eastAsia" w:ascii="宋体" w:hAnsi="宋体" w:eastAsia="宋体" w:cs="宋体"/>
          <w:color w:val="auto"/>
          <w:kern w:val="2"/>
          <w:sz w:val="21"/>
          <w:highlight w:val="none"/>
          <w:lang w:val="en-US" w:eastAsia="zh-CN"/>
        </w:rPr>
        <w:t>凡有意参加投标者，请于</w:t>
      </w:r>
      <w:r>
        <w:rPr>
          <w:rFonts w:hint="eastAsia" w:ascii="宋体" w:hAnsi="宋体" w:cs="宋体"/>
          <w:color w:val="auto"/>
          <w:kern w:val="2"/>
          <w:sz w:val="21"/>
          <w:highlight w:val="none"/>
          <w:lang w:val="en-US" w:eastAsia="zh-CN"/>
        </w:rPr>
        <w:t>2025</w:t>
      </w:r>
      <w:r>
        <w:rPr>
          <w:rFonts w:hint="eastAsia" w:ascii="宋体" w:hAnsi="宋体" w:eastAsia="宋体" w:cs="宋体"/>
          <w:color w:val="auto"/>
          <w:kern w:val="2"/>
          <w:sz w:val="21"/>
          <w:highlight w:val="none"/>
          <w:lang w:val="en-US" w:eastAsia="zh-CN"/>
        </w:rPr>
        <w:t>年</w:t>
      </w:r>
      <w:r>
        <w:rPr>
          <w:rFonts w:hint="eastAsia" w:ascii="宋体" w:hAnsi="宋体" w:cs="宋体"/>
          <w:color w:val="auto"/>
          <w:kern w:val="2"/>
          <w:sz w:val="21"/>
          <w:highlight w:val="none"/>
          <w:lang w:val="en-US" w:eastAsia="zh-CN"/>
        </w:rPr>
        <w:t>12</w:t>
      </w:r>
      <w:r>
        <w:rPr>
          <w:rFonts w:hint="eastAsia" w:ascii="宋体" w:hAnsi="宋体" w:eastAsia="宋体" w:cs="宋体"/>
          <w:color w:val="auto"/>
          <w:kern w:val="2"/>
          <w:sz w:val="21"/>
          <w:highlight w:val="none"/>
          <w:lang w:val="en-US" w:eastAsia="zh-CN"/>
        </w:rPr>
        <w:t>月</w:t>
      </w:r>
      <w:r>
        <w:rPr>
          <w:rFonts w:hint="eastAsia" w:ascii="宋体" w:hAnsi="宋体" w:cs="宋体"/>
          <w:color w:val="auto"/>
          <w:kern w:val="2"/>
          <w:sz w:val="21"/>
          <w:highlight w:val="none"/>
          <w:lang w:val="en-US" w:eastAsia="zh-CN"/>
        </w:rPr>
        <w:t>1</w:t>
      </w:r>
      <w:r>
        <w:rPr>
          <w:rFonts w:hint="eastAsia" w:ascii="宋体" w:hAnsi="宋体" w:eastAsia="宋体" w:cs="宋体"/>
          <w:color w:val="auto"/>
          <w:kern w:val="2"/>
          <w:sz w:val="21"/>
          <w:highlight w:val="none"/>
          <w:lang w:val="en-US" w:eastAsia="zh-CN"/>
        </w:rPr>
        <w:t>日至</w:t>
      </w:r>
      <w:r>
        <w:rPr>
          <w:rFonts w:hint="eastAsia" w:ascii="宋体" w:hAnsi="宋体" w:cs="宋体"/>
          <w:color w:val="auto"/>
          <w:kern w:val="2"/>
          <w:sz w:val="21"/>
          <w:highlight w:val="none"/>
          <w:lang w:val="en-US" w:eastAsia="zh-CN"/>
        </w:rPr>
        <w:t>2025</w:t>
      </w:r>
      <w:r>
        <w:rPr>
          <w:rFonts w:hint="eastAsia" w:ascii="宋体" w:hAnsi="宋体" w:eastAsia="宋体" w:cs="宋体"/>
          <w:color w:val="auto"/>
          <w:kern w:val="2"/>
          <w:sz w:val="21"/>
          <w:highlight w:val="none"/>
          <w:lang w:val="en-US" w:eastAsia="zh-CN"/>
        </w:rPr>
        <w:t>年</w:t>
      </w:r>
      <w:r>
        <w:rPr>
          <w:rFonts w:hint="eastAsia" w:ascii="宋体" w:hAnsi="宋体" w:cs="宋体"/>
          <w:color w:val="auto"/>
          <w:kern w:val="2"/>
          <w:sz w:val="21"/>
          <w:highlight w:val="none"/>
          <w:lang w:val="en-US" w:eastAsia="zh-CN"/>
        </w:rPr>
        <w:t>12</w:t>
      </w:r>
      <w:r>
        <w:rPr>
          <w:rFonts w:hint="eastAsia" w:ascii="宋体" w:hAnsi="宋体" w:eastAsia="宋体" w:cs="宋体"/>
          <w:color w:val="auto"/>
          <w:kern w:val="2"/>
          <w:sz w:val="21"/>
          <w:highlight w:val="none"/>
          <w:lang w:val="en-US" w:eastAsia="zh-CN"/>
        </w:rPr>
        <w:t>月</w:t>
      </w:r>
      <w:r>
        <w:rPr>
          <w:rFonts w:hint="eastAsia" w:ascii="宋体" w:hAnsi="宋体" w:cs="宋体"/>
          <w:color w:val="auto"/>
          <w:kern w:val="2"/>
          <w:sz w:val="21"/>
          <w:highlight w:val="none"/>
          <w:lang w:val="en-US" w:eastAsia="zh-CN"/>
        </w:rPr>
        <w:t>8</w:t>
      </w:r>
      <w:r>
        <w:rPr>
          <w:rFonts w:hint="eastAsia" w:ascii="宋体" w:hAnsi="宋体" w:eastAsia="宋体" w:cs="宋体"/>
          <w:color w:val="auto"/>
          <w:kern w:val="2"/>
          <w:sz w:val="21"/>
          <w:highlight w:val="none"/>
          <w:lang w:val="en-US" w:eastAsia="zh-CN"/>
        </w:rPr>
        <w:t>日，每日上午</w:t>
      </w:r>
      <w:r>
        <w:rPr>
          <w:rFonts w:hint="eastAsia" w:ascii="宋体" w:hAnsi="宋体" w:cs="宋体"/>
          <w:color w:val="auto"/>
          <w:kern w:val="2"/>
          <w:sz w:val="21"/>
          <w:highlight w:val="none"/>
          <w:lang w:val="en-US" w:eastAsia="zh-CN"/>
        </w:rPr>
        <w:t>9</w:t>
      </w:r>
      <w:r>
        <w:rPr>
          <w:rFonts w:hint="eastAsia" w:ascii="宋体" w:hAnsi="宋体" w:eastAsia="宋体" w:cs="宋体"/>
          <w:color w:val="auto"/>
          <w:kern w:val="2"/>
          <w:sz w:val="21"/>
          <w:highlight w:val="none"/>
          <w:lang w:val="en-US" w:eastAsia="zh-CN"/>
        </w:rPr>
        <w:t>时00分至12时00分，下午15时00分至17时30 分（北京时间，下同）（法定节假日、公休日除外），</w:t>
      </w:r>
      <w:r>
        <w:rPr>
          <w:rFonts w:hint="eastAsia" w:ascii="宋体" w:hAnsi="宋体" w:cs="宋体"/>
          <w:color w:val="auto"/>
          <w:kern w:val="2"/>
          <w:highlight w:val="none"/>
        </w:rPr>
        <w:t>在</w:t>
      </w:r>
      <w:r>
        <w:rPr>
          <w:rFonts w:hint="eastAsia" w:ascii="宋体" w:hAnsi="宋体" w:cs="宋体"/>
          <w:b/>
          <w:bCs/>
          <w:color w:val="auto"/>
          <w:kern w:val="2"/>
          <w:highlight w:val="none"/>
        </w:rPr>
        <w:t>广西科联招标中心有限公司（柳州市东环大道256号万达中心13-22）</w:t>
      </w:r>
      <w:r>
        <w:rPr>
          <w:rFonts w:hint="eastAsia" w:ascii="宋体" w:hAnsi="宋体" w:cs="宋体"/>
          <w:color w:val="auto"/>
          <w:kern w:val="2"/>
          <w:highlight w:val="none"/>
        </w:rPr>
        <w:t>，</w:t>
      </w:r>
      <w:r>
        <w:rPr>
          <w:rFonts w:hint="eastAsia" w:ascii="宋体" w:hAnsi="宋体" w:eastAsia="宋体" w:cs="宋体"/>
          <w:color w:val="auto"/>
          <w:kern w:val="2"/>
          <w:sz w:val="21"/>
          <w:highlight w:val="none"/>
          <w:lang w:val="en-US" w:eastAsia="zh-CN"/>
        </w:rPr>
        <w:t>由法定代表人或授权委托人携带以下加盖公章资料：</w:t>
      </w:r>
    </w:p>
    <w:p w14:paraId="0717E98C">
      <w:pPr>
        <w:kinsoku w:val="0"/>
        <w:overflowPunct w:val="0"/>
        <w:spacing w:line="360" w:lineRule="exact"/>
        <w:ind w:firstLine="420" w:firstLineChars="200"/>
        <w:jc w:val="both"/>
        <w:outlineLvl w:val="9"/>
        <w:rPr>
          <w:rFonts w:hint="eastAsia" w:ascii="宋体" w:hAnsi="宋体" w:eastAsia="宋体" w:cs="宋体"/>
          <w:color w:val="auto"/>
          <w:kern w:val="2"/>
          <w:sz w:val="21"/>
          <w:highlight w:val="none"/>
          <w:lang w:val="en-US" w:eastAsia="zh-CN"/>
        </w:rPr>
      </w:pPr>
      <w:r>
        <w:rPr>
          <w:rFonts w:hint="eastAsia" w:ascii="宋体" w:hAnsi="宋体" w:eastAsia="宋体" w:cs="宋体"/>
          <w:color w:val="auto"/>
          <w:kern w:val="2"/>
          <w:sz w:val="21"/>
          <w:highlight w:val="none"/>
          <w:lang w:val="en-US" w:eastAsia="zh-CN"/>
        </w:rPr>
        <w:t>（1）主体资格证明（如营业执照、事业单位法人证书等复印件）；</w:t>
      </w:r>
    </w:p>
    <w:p w14:paraId="62A1C707">
      <w:pPr>
        <w:kinsoku w:val="0"/>
        <w:overflowPunct w:val="0"/>
        <w:spacing w:line="360" w:lineRule="exact"/>
        <w:ind w:firstLine="420" w:firstLineChars="200"/>
        <w:jc w:val="both"/>
        <w:outlineLvl w:val="9"/>
        <w:rPr>
          <w:rFonts w:hint="eastAsia" w:ascii="宋体" w:hAnsi="宋体" w:eastAsia="宋体" w:cs="宋体"/>
          <w:color w:val="auto"/>
          <w:kern w:val="2"/>
          <w:sz w:val="21"/>
          <w:highlight w:val="none"/>
          <w:lang w:val="en-US" w:eastAsia="zh-CN"/>
        </w:rPr>
      </w:pPr>
      <w:r>
        <w:rPr>
          <w:rFonts w:hint="eastAsia" w:ascii="宋体" w:hAnsi="宋体" w:eastAsia="宋体" w:cs="宋体"/>
          <w:color w:val="auto"/>
          <w:kern w:val="2"/>
          <w:sz w:val="21"/>
          <w:highlight w:val="none"/>
          <w:lang w:val="en-US" w:eastAsia="zh-CN"/>
        </w:rPr>
        <w:t>（2）</w:t>
      </w:r>
      <w:r>
        <w:rPr>
          <w:rFonts w:hint="eastAsia"/>
          <w:color w:val="auto"/>
          <w:highlight w:val="none"/>
          <w:lang w:val="en-US" w:eastAsia="zh-CN"/>
        </w:rPr>
        <w:t>法定代表人身份证复印件及委托代理人身份证复印件</w:t>
      </w:r>
      <w:r>
        <w:rPr>
          <w:rFonts w:hint="eastAsia" w:ascii="宋体" w:hAnsi="宋体" w:eastAsia="宋体" w:cs="宋体"/>
          <w:color w:val="auto"/>
          <w:kern w:val="2"/>
          <w:sz w:val="21"/>
          <w:highlight w:val="none"/>
          <w:lang w:val="en-US" w:eastAsia="zh-CN"/>
        </w:rPr>
        <w:t>；</w:t>
      </w:r>
    </w:p>
    <w:p w14:paraId="14AD3C45">
      <w:pPr>
        <w:kinsoku w:val="0"/>
        <w:overflowPunct w:val="0"/>
        <w:spacing w:line="360" w:lineRule="exact"/>
        <w:ind w:firstLine="420" w:firstLineChars="200"/>
        <w:jc w:val="both"/>
        <w:outlineLvl w:val="9"/>
        <w:rPr>
          <w:rFonts w:hint="eastAsia" w:ascii="宋体" w:hAnsi="宋体" w:eastAsia="宋体" w:cs="宋体"/>
          <w:color w:val="auto"/>
          <w:kern w:val="2"/>
          <w:sz w:val="21"/>
          <w:highlight w:val="none"/>
          <w:lang w:val="en-US" w:eastAsia="zh-CN"/>
        </w:rPr>
      </w:pPr>
      <w:r>
        <w:rPr>
          <w:rFonts w:hint="eastAsia" w:ascii="宋体" w:hAnsi="宋体" w:eastAsia="宋体" w:cs="宋体"/>
          <w:color w:val="auto"/>
          <w:kern w:val="2"/>
          <w:sz w:val="21"/>
          <w:highlight w:val="none"/>
          <w:lang w:val="en-US" w:eastAsia="zh-CN"/>
        </w:rPr>
        <w:t>（3）法定代表人授权书原件（委托代理人购买时须提供）；</w:t>
      </w:r>
    </w:p>
    <w:p w14:paraId="2401B0A3">
      <w:pPr>
        <w:kinsoku w:val="0"/>
        <w:overflowPunct w:val="0"/>
        <w:spacing w:line="360" w:lineRule="exact"/>
        <w:ind w:firstLine="420" w:firstLineChars="200"/>
        <w:jc w:val="both"/>
        <w:outlineLvl w:val="9"/>
        <w:rPr>
          <w:rFonts w:hint="eastAsia" w:ascii="宋体" w:hAnsi="宋体" w:eastAsia="宋体" w:cs="宋体"/>
          <w:color w:val="auto"/>
          <w:kern w:val="2"/>
          <w:sz w:val="21"/>
          <w:highlight w:val="none"/>
          <w:lang w:val="en-US" w:eastAsia="zh-CN"/>
        </w:rPr>
      </w:pPr>
      <w:r>
        <w:rPr>
          <w:rFonts w:hint="eastAsia" w:ascii="宋体" w:hAnsi="宋体" w:eastAsia="宋体" w:cs="宋体"/>
          <w:color w:val="auto"/>
          <w:kern w:val="2"/>
          <w:sz w:val="21"/>
          <w:highlight w:val="none"/>
          <w:lang w:val="en-US" w:eastAsia="zh-CN"/>
        </w:rPr>
        <w:t>（4）业绩证明材料（提供有效合同复印件证明材料）购买招标文件。</w:t>
      </w:r>
    </w:p>
    <w:p w14:paraId="6E7287D6">
      <w:pPr>
        <w:kinsoku w:val="0"/>
        <w:overflowPunct w:val="0"/>
        <w:spacing w:line="360" w:lineRule="exact"/>
        <w:ind w:left="183" w:leftChars="87" w:firstLine="211" w:firstLineChars="100"/>
        <w:jc w:val="both"/>
        <w:outlineLvl w:val="9"/>
        <w:rPr>
          <w:rFonts w:hint="eastAsia" w:ascii="宋体" w:hAnsi="宋体" w:eastAsia="宋体" w:cs="宋体"/>
          <w:color w:val="auto"/>
          <w:kern w:val="2"/>
          <w:sz w:val="21"/>
          <w:highlight w:val="none"/>
          <w:lang w:val="en-US" w:eastAsia="zh-CN"/>
        </w:rPr>
      </w:pPr>
      <w:r>
        <w:rPr>
          <w:rFonts w:hint="eastAsia" w:ascii="宋体" w:hAnsi="宋体" w:eastAsia="宋体" w:cs="宋体"/>
          <w:b/>
          <w:bCs/>
          <w:color w:val="auto"/>
          <w:kern w:val="2"/>
          <w:sz w:val="21"/>
          <w:highlight w:val="none"/>
          <w:lang w:val="en-US" w:eastAsia="zh-CN"/>
        </w:rPr>
        <w:t>4.2 网上获取招标文件的方式：</w:t>
      </w:r>
      <w:r>
        <w:rPr>
          <w:rFonts w:hint="eastAsia" w:ascii="宋体" w:hAnsi="宋体" w:eastAsia="宋体" w:cs="宋体"/>
          <w:color w:val="auto"/>
          <w:kern w:val="2"/>
          <w:sz w:val="21"/>
          <w:highlight w:val="none"/>
          <w:lang w:val="en-US" w:eastAsia="zh-CN"/>
        </w:rPr>
        <w:t>凡有意参加投标者，请于</w:t>
      </w:r>
      <w:r>
        <w:rPr>
          <w:rFonts w:hint="eastAsia" w:ascii="宋体" w:hAnsi="宋体" w:cs="宋体"/>
          <w:color w:val="auto"/>
          <w:kern w:val="2"/>
          <w:sz w:val="21"/>
          <w:highlight w:val="none"/>
          <w:lang w:val="en-US" w:eastAsia="zh-CN"/>
        </w:rPr>
        <w:t>2025</w:t>
      </w:r>
      <w:r>
        <w:rPr>
          <w:rFonts w:hint="eastAsia" w:ascii="宋体" w:hAnsi="宋体" w:eastAsia="宋体" w:cs="宋体"/>
          <w:color w:val="auto"/>
          <w:kern w:val="2"/>
          <w:sz w:val="21"/>
          <w:highlight w:val="none"/>
          <w:lang w:val="en-US" w:eastAsia="zh-CN"/>
        </w:rPr>
        <w:t>年</w:t>
      </w:r>
      <w:r>
        <w:rPr>
          <w:rFonts w:hint="eastAsia" w:ascii="宋体" w:hAnsi="宋体" w:cs="宋体"/>
          <w:color w:val="auto"/>
          <w:kern w:val="2"/>
          <w:sz w:val="21"/>
          <w:highlight w:val="none"/>
          <w:lang w:val="en-US" w:eastAsia="zh-CN"/>
        </w:rPr>
        <w:t>12</w:t>
      </w:r>
      <w:r>
        <w:rPr>
          <w:rFonts w:hint="eastAsia" w:ascii="宋体" w:hAnsi="宋体" w:eastAsia="宋体" w:cs="宋体"/>
          <w:color w:val="auto"/>
          <w:kern w:val="2"/>
          <w:sz w:val="21"/>
          <w:highlight w:val="none"/>
          <w:lang w:val="en-US" w:eastAsia="zh-CN"/>
        </w:rPr>
        <w:t>月</w:t>
      </w:r>
      <w:r>
        <w:rPr>
          <w:rFonts w:hint="eastAsia" w:ascii="宋体" w:hAnsi="宋体" w:cs="宋体"/>
          <w:color w:val="auto"/>
          <w:kern w:val="2"/>
          <w:sz w:val="21"/>
          <w:highlight w:val="none"/>
          <w:lang w:val="en-US" w:eastAsia="zh-CN"/>
        </w:rPr>
        <w:t>1</w:t>
      </w:r>
      <w:r>
        <w:rPr>
          <w:rFonts w:hint="eastAsia" w:ascii="宋体" w:hAnsi="宋体" w:eastAsia="宋体" w:cs="宋体"/>
          <w:color w:val="auto"/>
          <w:kern w:val="2"/>
          <w:sz w:val="21"/>
          <w:highlight w:val="none"/>
          <w:lang w:val="en-US" w:eastAsia="zh-CN"/>
        </w:rPr>
        <w:t>日至</w:t>
      </w:r>
      <w:r>
        <w:rPr>
          <w:rFonts w:hint="eastAsia" w:ascii="宋体" w:hAnsi="宋体" w:cs="宋体"/>
          <w:color w:val="auto"/>
          <w:kern w:val="2"/>
          <w:sz w:val="21"/>
          <w:highlight w:val="none"/>
          <w:lang w:val="en-US" w:eastAsia="zh-CN"/>
        </w:rPr>
        <w:t>2025</w:t>
      </w:r>
      <w:r>
        <w:rPr>
          <w:rFonts w:hint="eastAsia" w:ascii="宋体" w:hAnsi="宋体" w:eastAsia="宋体" w:cs="宋体"/>
          <w:color w:val="auto"/>
          <w:kern w:val="2"/>
          <w:sz w:val="21"/>
          <w:highlight w:val="none"/>
          <w:lang w:val="en-US" w:eastAsia="zh-CN"/>
        </w:rPr>
        <w:t>年</w:t>
      </w:r>
      <w:r>
        <w:rPr>
          <w:rFonts w:hint="eastAsia" w:ascii="宋体" w:hAnsi="宋体" w:cs="宋体"/>
          <w:color w:val="auto"/>
          <w:kern w:val="2"/>
          <w:sz w:val="21"/>
          <w:highlight w:val="none"/>
          <w:lang w:val="en-US" w:eastAsia="zh-CN"/>
        </w:rPr>
        <w:t>12</w:t>
      </w:r>
      <w:r>
        <w:rPr>
          <w:rFonts w:hint="eastAsia" w:ascii="宋体" w:hAnsi="宋体" w:eastAsia="宋体" w:cs="宋体"/>
          <w:color w:val="auto"/>
          <w:kern w:val="2"/>
          <w:sz w:val="21"/>
          <w:highlight w:val="none"/>
          <w:lang w:val="en-US" w:eastAsia="zh-CN"/>
        </w:rPr>
        <w:t>月</w:t>
      </w:r>
      <w:r>
        <w:rPr>
          <w:rFonts w:hint="eastAsia" w:ascii="宋体" w:hAnsi="宋体" w:cs="宋体"/>
          <w:color w:val="auto"/>
          <w:kern w:val="2"/>
          <w:sz w:val="21"/>
          <w:highlight w:val="none"/>
          <w:lang w:val="en-US" w:eastAsia="zh-CN"/>
        </w:rPr>
        <w:t>8</w:t>
      </w:r>
      <w:r>
        <w:rPr>
          <w:rFonts w:hint="eastAsia" w:ascii="宋体" w:hAnsi="宋体" w:eastAsia="宋体" w:cs="宋体"/>
          <w:color w:val="auto"/>
          <w:kern w:val="2"/>
          <w:sz w:val="21"/>
          <w:highlight w:val="none"/>
          <w:lang w:val="en-US" w:eastAsia="zh-CN"/>
        </w:rPr>
        <w:t>日</w:t>
      </w:r>
      <w:r>
        <w:rPr>
          <w:rFonts w:hint="eastAsia" w:ascii="宋体" w:hAnsi="宋体" w:cs="宋体"/>
          <w:color w:val="auto"/>
          <w:kern w:val="2"/>
          <w:sz w:val="21"/>
          <w:highlight w:val="none"/>
          <w:lang w:val="en-US" w:eastAsia="zh-CN"/>
        </w:rPr>
        <w:t>17</w:t>
      </w:r>
      <w:r>
        <w:rPr>
          <w:rFonts w:hint="eastAsia" w:ascii="宋体" w:hAnsi="宋体" w:eastAsia="宋体" w:cs="宋体"/>
          <w:color w:val="auto"/>
          <w:kern w:val="2"/>
          <w:sz w:val="21"/>
          <w:highlight w:val="none"/>
          <w:lang w:val="en-US" w:eastAsia="zh-CN"/>
        </w:rPr>
        <w:t>时</w:t>
      </w:r>
      <w:r>
        <w:rPr>
          <w:rFonts w:hint="eastAsia" w:ascii="宋体" w:hAnsi="宋体" w:cs="宋体"/>
          <w:color w:val="auto"/>
          <w:kern w:val="2"/>
          <w:sz w:val="21"/>
          <w:highlight w:val="none"/>
          <w:lang w:val="en-US" w:eastAsia="zh-CN"/>
        </w:rPr>
        <w:t>30</w:t>
      </w:r>
      <w:r>
        <w:rPr>
          <w:rFonts w:hint="eastAsia" w:ascii="宋体" w:hAnsi="宋体" w:eastAsia="宋体" w:cs="宋体"/>
          <w:color w:val="auto"/>
          <w:kern w:val="2"/>
          <w:sz w:val="21"/>
          <w:highlight w:val="none"/>
          <w:lang w:val="en-US" w:eastAsia="zh-CN"/>
        </w:rPr>
        <w:t>分，将以下加盖公章资料：</w:t>
      </w:r>
    </w:p>
    <w:p w14:paraId="4075CCAD">
      <w:pPr>
        <w:kinsoku w:val="0"/>
        <w:overflowPunct w:val="0"/>
        <w:spacing w:line="360" w:lineRule="exact"/>
        <w:ind w:left="183" w:leftChars="87" w:firstLine="210" w:firstLineChars="100"/>
        <w:jc w:val="both"/>
        <w:outlineLvl w:val="9"/>
        <w:rPr>
          <w:rFonts w:hint="eastAsia" w:ascii="宋体" w:hAnsi="宋体" w:eastAsia="宋体" w:cs="宋体"/>
          <w:color w:val="auto"/>
          <w:kern w:val="2"/>
          <w:sz w:val="21"/>
          <w:highlight w:val="none"/>
          <w:lang w:val="en-US" w:eastAsia="zh-CN"/>
        </w:rPr>
      </w:pPr>
      <w:r>
        <w:rPr>
          <w:rFonts w:hint="eastAsia" w:ascii="宋体" w:hAnsi="宋体" w:eastAsia="宋体" w:cs="宋体"/>
          <w:color w:val="auto"/>
          <w:kern w:val="2"/>
          <w:sz w:val="21"/>
          <w:highlight w:val="none"/>
          <w:lang w:val="en-US" w:eastAsia="zh-CN"/>
        </w:rPr>
        <w:t>（1）主体资格证明（如营业执照、事业单位法人证书等复印件）；</w:t>
      </w:r>
    </w:p>
    <w:p w14:paraId="2084A827">
      <w:pPr>
        <w:kinsoku w:val="0"/>
        <w:overflowPunct w:val="0"/>
        <w:spacing w:line="360" w:lineRule="exact"/>
        <w:ind w:left="183" w:leftChars="87" w:firstLine="210" w:firstLineChars="100"/>
        <w:jc w:val="both"/>
        <w:outlineLvl w:val="9"/>
        <w:rPr>
          <w:rFonts w:hint="eastAsia" w:ascii="宋体" w:hAnsi="宋体" w:eastAsia="宋体" w:cs="宋体"/>
          <w:color w:val="auto"/>
          <w:kern w:val="2"/>
          <w:sz w:val="21"/>
          <w:highlight w:val="none"/>
          <w:lang w:val="en-US" w:eastAsia="zh-CN"/>
        </w:rPr>
      </w:pPr>
      <w:r>
        <w:rPr>
          <w:rFonts w:hint="eastAsia" w:ascii="宋体" w:hAnsi="宋体" w:eastAsia="宋体" w:cs="宋体"/>
          <w:color w:val="auto"/>
          <w:kern w:val="2"/>
          <w:sz w:val="21"/>
          <w:highlight w:val="none"/>
          <w:lang w:val="en-US" w:eastAsia="zh-CN"/>
        </w:rPr>
        <w:t>（2）</w:t>
      </w:r>
      <w:r>
        <w:rPr>
          <w:rFonts w:hint="eastAsia"/>
          <w:color w:val="auto"/>
          <w:highlight w:val="none"/>
          <w:lang w:val="en-US" w:eastAsia="zh-CN"/>
        </w:rPr>
        <w:t>法定代表人身份证复印件及委托代理人身份证复印件</w:t>
      </w:r>
      <w:r>
        <w:rPr>
          <w:rFonts w:hint="eastAsia" w:ascii="宋体" w:hAnsi="宋体" w:eastAsia="宋体" w:cs="宋体"/>
          <w:color w:val="auto"/>
          <w:kern w:val="2"/>
          <w:sz w:val="21"/>
          <w:highlight w:val="none"/>
          <w:lang w:val="en-US" w:eastAsia="zh-CN"/>
        </w:rPr>
        <w:t>；</w:t>
      </w:r>
    </w:p>
    <w:p w14:paraId="5646083B">
      <w:pPr>
        <w:kinsoku w:val="0"/>
        <w:overflowPunct w:val="0"/>
        <w:spacing w:line="360" w:lineRule="exact"/>
        <w:ind w:left="183" w:leftChars="87" w:firstLine="210" w:firstLineChars="100"/>
        <w:jc w:val="both"/>
        <w:outlineLvl w:val="9"/>
        <w:rPr>
          <w:rFonts w:hint="eastAsia" w:ascii="宋体" w:hAnsi="宋体" w:eastAsia="宋体" w:cs="宋体"/>
          <w:color w:val="auto"/>
          <w:kern w:val="2"/>
          <w:sz w:val="21"/>
          <w:highlight w:val="none"/>
          <w:lang w:val="en-US" w:eastAsia="zh-CN"/>
        </w:rPr>
      </w:pPr>
      <w:r>
        <w:rPr>
          <w:rFonts w:hint="eastAsia" w:ascii="宋体" w:hAnsi="宋体" w:eastAsia="宋体" w:cs="宋体"/>
          <w:color w:val="auto"/>
          <w:kern w:val="2"/>
          <w:sz w:val="21"/>
          <w:highlight w:val="none"/>
          <w:lang w:val="en-US" w:eastAsia="zh-CN"/>
        </w:rPr>
        <w:t>（3）法定代表人授权书原件（委托代理人购买时须提供）；</w:t>
      </w:r>
    </w:p>
    <w:p w14:paraId="6C5E3911">
      <w:pPr>
        <w:kinsoku w:val="0"/>
        <w:overflowPunct w:val="0"/>
        <w:spacing w:line="360" w:lineRule="exact"/>
        <w:ind w:left="183" w:leftChars="87" w:firstLine="210" w:firstLineChars="100"/>
        <w:jc w:val="both"/>
        <w:outlineLvl w:val="9"/>
        <w:rPr>
          <w:rFonts w:hint="eastAsia" w:ascii="宋体" w:hAnsi="宋体" w:eastAsia="宋体" w:cs="宋体"/>
          <w:color w:val="auto"/>
          <w:kern w:val="2"/>
          <w:sz w:val="21"/>
          <w:highlight w:val="none"/>
          <w:lang w:val="en-US" w:eastAsia="zh-CN"/>
        </w:rPr>
      </w:pPr>
      <w:r>
        <w:rPr>
          <w:rFonts w:hint="eastAsia" w:ascii="宋体" w:hAnsi="宋体" w:eastAsia="宋体" w:cs="宋体"/>
          <w:color w:val="auto"/>
          <w:kern w:val="2"/>
          <w:sz w:val="21"/>
          <w:highlight w:val="none"/>
          <w:lang w:val="en-US" w:eastAsia="zh-CN"/>
        </w:rPr>
        <w:t>（4）业绩证明材料（提供有效合同复印件证明材料）购买招标文件；</w:t>
      </w:r>
    </w:p>
    <w:p w14:paraId="2D5976DF">
      <w:pPr>
        <w:kinsoku w:val="0"/>
        <w:overflowPunct w:val="0"/>
        <w:spacing w:line="360" w:lineRule="exact"/>
        <w:ind w:left="183" w:leftChars="87" w:firstLine="210" w:firstLineChars="100"/>
        <w:jc w:val="both"/>
        <w:outlineLvl w:val="9"/>
        <w:rPr>
          <w:rFonts w:hint="eastAsia" w:ascii="宋体" w:hAnsi="宋体" w:eastAsia="宋体" w:cs="宋体"/>
          <w:color w:val="auto"/>
          <w:kern w:val="2"/>
          <w:sz w:val="21"/>
          <w:highlight w:val="none"/>
          <w:lang w:val="en-US" w:eastAsia="zh-CN"/>
        </w:rPr>
      </w:pPr>
      <w:r>
        <w:rPr>
          <w:rFonts w:hint="eastAsia" w:ascii="宋体" w:hAnsi="宋体" w:eastAsia="宋体" w:cs="宋体"/>
          <w:color w:val="auto"/>
          <w:kern w:val="2"/>
          <w:sz w:val="21"/>
          <w:highlight w:val="none"/>
          <w:lang w:val="en-US" w:eastAsia="zh-CN"/>
        </w:rPr>
        <w:t>（5）报名费转账单据的清晰扫描件以及投标报名负责人及联系方式一并发送到</w:t>
      </w:r>
      <w:r>
        <w:rPr>
          <w:rStyle w:val="4"/>
          <w:rFonts w:hint="eastAsia" w:ascii="宋体" w:hAnsi="宋体" w:cs="宋体"/>
          <w:b/>
          <w:bCs/>
          <w:color w:val="auto"/>
          <w:szCs w:val="21"/>
          <w:highlight w:val="none"/>
        </w:rPr>
        <w:t>KL0772@126.COM</w:t>
      </w:r>
      <w:r>
        <w:rPr>
          <w:rFonts w:hint="eastAsia" w:ascii="宋体" w:hAnsi="宋体" w:cs="宋体"/>
          <w:color w:val="auto"/>
          <w:kern w:val="2"/>
          <w:sz w:val="21"/>
          <w:highlight w:val="none"/>
          <w:lang w:val="en-US" w:eastAsia="zh-CN"/>
        </w:rPr>
        <w:t>邮箱</w:t>
      </w:r>
      <w:r>
        <w:rPr>
          <w:rFonts w:hint="eastAsia" w:ascii="宋体" w:hAnsi="宋体" w:eastAsia="宋体" w:cs="宋体"/>
          <w:color w:val="auto"/>
          <w:kern w:val="2"/>
          <w:sz w:val="21"/>
          <w:highlight w:val="none"/>
          <w:lang w:val="en-US" w:eastAsia="zh-CN"/>
        </w:rPr>
        <w:t>。</w:t>
      </w:r>
    </w:p>
    <w:p w14:paraId="059BAC2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文件售价：招标文件每套500元，售后不退。</w:t>
      </w:r>
    </w:p>
    <w:p w14:paraId="1E6631E3">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证明文件：（1）主体资格证明（如营业执照、事业单位法人证书、执业许可证、个体工商户营业执照、自然人身份证等）；（2）法定代表人身份证；（3）委托代理人身份证及法定代表人授权书。以上证明文件要求为原件的清晰扫描件并加盖公章。</w:t>
      </w:r>
    </w:p>
    <w:p w14:paraId="6ABA5B3C">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支付招标文件费用的账号信息如下(支付招标文件费用时，应在“汇款用途”或“款项来源”栏注明“</w:t>
      </w:r>
      <w:r>
        <w:rPr>
          <w:rFonts w:hint="eastAsia" w:ascii="宋体" w:hAnsi="宋体" w:eastAsia="宋体" w:cs="宋体"/>
          <w:color w:val="auto"/>
          <w:highlight w:val="none"/>
          <w:lang w:val="en-US" w:eastAsia="zh-CN"/>
        </w:rPr>
        <w:t>XXXX</w:t>
      </w:r>
      <w:r>
        <w:rPr>
          <w:rFonts w:hint="eastAsia" w:ascii="宋体" w:hAnsi="宋体" w:eastAsia="宋体" w:cs="宋体"/>
          <w:color w:val="auto"/>
          <w:highlight w:val="none"/>
        </w:rPr>
        <w:t>-标书款”字样)：</w:t>
      </w:r>
    </w:p>
    <w:p w14:paraId="73B9D903">
      <w:pPr>
        <w:kinsoku w:val="0"/>
        <w:overflowPunct w:val="0"/>
        <w:spacing w:line="360" w:lineRule="exact"/>
        <w:ind w:firstLine="420" w:firstLineChars="200"/>
        <w:jc w:val="both"/>
        <w:outlineLvl w:val="1"/>
        <w:rPr>
          <w:rFonts w:ascii="宋体" w:hAnsi="宋体" w:cs="宋体"/>
          <w:color w:val="auto"/>
          <w:kern w:val="2"/>
          <w:highlight w:val="none"/>
        </w:rPr>
      </w:pPr>
      <w:bookmarkStart w:id="0" w:name="_Toc31674"/>
      <w:bookmarkStart w:id="1" w:name="_Toc22980"/>
      <w:r>
        <w:rPr>
          <w:rFonts w:hint="eastAsia" w:ascii="宋体" w:hAnsi="宋体" w:cs="宋体"/>
          <w:color w:val="auto"/>
          <w:kern w:val="2"/>
          <w:highlight w:val="none"/>
        </w:rPr>
        <w:t>开户名称：广西科联招标中心有限公司柳州分公司</w:t>
      </w:r>
      <w:bookmarkEnd w:id="0"/>
      <w:bookmarkEnd w:id="1"/>
    </w:p>
    <w:p w14:paraId="70A8C63C">
      <w:pPr>
        <w:kinsoku w:val="0"/>
        <w:overflowPunct w:val="0"/>
        <w:spacing w:line="360" w:lineRule="exact"/>
        <w:ind w:firstLine="420" w:firstLineChars="200"/>
        <w:jc w:val="both"/>
        <w:outlineLvl w:val="1"/>
        <w:rPr>
          <w:rFonts w:ascii="宋体" w:hAnsi="宋体" w:cs="宋体"/>
          <w:color w:val="auto"/>
          <w:kern w:val="2"/>
          <w:highlight w:val="none"/>
        </w:rPr>
      </w:pPr>
      <w:bookmarkStart w:id="2" w:name="_Toc4715"/>
      <w:bookmarkStart w:id="3" w:name="_Toc23354"/>
      <w:r>
        <w:rPr>
          <w:rFonts w:hint="eastAsia" w:ascii="宋体" w:hAnsi="宋体" w:cs="宋体"/>
          <w:color w:val="auto"/>
          <w:kern w:val="2"/>
          <w:highlight w:val="none"/>
        </w:rPr>
        <w:t>开户银行：中国建设银行股份有限公司柳州文昌路支行</w:t>
      </w:r>
      <w:bookmarkEnd w:id="2"/>
      <w:bookmarkEnd w:id="3"/>
    </w:p>
    <w:p w14:paraId="0865426A">
      <w:pPr>
        <w:kinsoku w:val="0"/>
        <w:overflowPunct w:val="0"/>
        <w:spacing w:line="360" w:lineRule="exact"/>
        <w:ind w:firstLine="420" w:firstLineChars="200"/>
        <w:jc w:val="both"/>
        <w:outlineLvl w:val="1"/>
        <w:rPr>
          <w:rFonts w:ascii="宋体" w:hAnsi="宋体" w:cs="宋体"/>
          <w:color w:val="auto"/>
          <w:kern w:val="2"/>
          <w:highlight w:val="none"/>
        </w:rPr>
      </w:pPr>
      <w:bookmarkStart w:id="4" w:name="_Toc5280"/>
      <w:r>
        <w:rPr>
          <w:rFonts w:hint="eastAsia" w:ascii="宋体" w:hAnsi="宋体" w:cs="宋体"/>
          <w:color w:val="auto"/>
          <w:kern w:val="2"/>
          <w:highlight w:val="none"/>
        </w:rPr>
        <w:t>银行账号：45050162524000000145</w:t>
      </w:r>
      <w:bookmarkEnd w:id="4"/>
    </w:p>
    <w:p w14:paraId="1B971E49">
      <w:pPr>
        <w:keepNext w:val="0"/>
        <w:keepLines w:val="0"/>
        <w:pageBreakBefore w:val="0"/>
        <w:widowControl w:val="0"/>
        <w:kinsoku/>
        <w:wordWrap/>
        <w:overflowPunct/>
        <w:topLinePunct w:val="0"/>
        <w:autoSpaceDE/>
        <w:autoSpaceDN/>
        <w:bidi w:val="0"/>
        <w:adjustRightInd/>
        <w:snapToGrid/>
        <w:spacing w:before="20" w:after="20" w:line="360" w:lineRule="exact"/>
        <w:textAlignment w:val="auto"/>
        <w:outlineLvl w:val="1"/>
        <w:rPr>
          <w:rFonts w:hint="eastAsia" w:ascii="宋体" w:hAnsi="宋体" w:eastAsia="宋体" w:cs="宋体"/>
          <w:b/>
          <w:bCs/>
          <w:color w:val="auto"/>
          <w:highlight w:val="none"/>
        </w:rPr>
      </w:pPr>
      <w:r>
        <w:rPr>
          <w:rFonts w:hint="eastAsia" w:ascii="宋体" w:hAnsi="宋体" w:eastAsia="宋体" w:cs="宋体"/>
          <w:b/>
          <w:bCs/>
          <w:color w:val="auto"/>
          <w:highlight w:val="none"/>
        </w:rPr>
        <w:t>5、投标文件的递交</w:t>
      </w:r>
    </w:p>
    <w:p w14:paraId="4AD63A9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投标截止时间：</w:t>
      </w:r>
      <w:r>
        <w:rPr>
          <w:rFonts w:hint="eastAsia" w:ascii="宋体" w:hAnsi="宋体" w:cs="宋体"/>
          <w:b/>
          <w:bCs/>
          <w:color w:val="auto"/>
          <w:kern w:val="2"/>
          <w:highlight w:val="none"/>
        </w:rPr>
        <w:t>2025年</w:t>
      </w:r>
      <w:r>
        <w:rPr>
          <w:rFonts w:hint="eastAsia" w:ascii="宋体" w:hAnsi="宋体" w:cs="宋体"/>
          <w:b/>
          <w:bCs/>
          <w:color w:val="auto"/>
          <w:kern w:val="2"/>
          <w:highlight w:val="none"/>
          <w:lang w:val="en-US" w:eastAsia="zh-CN"/>
        </w:rPr>
        <w:t>12</w:t>
      </w:r>
      <w:r>
        <w:rPr>
          <w:rFonts w:hint="eastAsia" w:ascii="宋体" w:hAnsi="宋体" w:cs="宋体"/>
          <w:b/>
          <w:bCs/>
          <w:color w:val="auto"/>
          <w:kern w:val="2"/>
          <w:highlight w:val="none"/>
        </w:rPr>
        <w:t>月</w:t>
      </w:r>
      <w:r>
        <w:rPr>
          <w:rFonts w:hint="eastAsia" w:ascii="宋体" w:hAnsi="宋体" w:cs="宋体"/>
          <w:b/>
          <w:bCs/>
          <w:color w:val="auto"/>
          <w:kern w:val="2"/>
          <w:highlight w:val="none"/>
          <w:lang w:val="en-US" w:eastAsia="zh-CN"/>
        </w:rPr>
        <w:t>22</w:t>
      </w:r>
      <w:r>
        <w:rPr>
          <w:rFonts w:hint="eastAsia" w:ascii="宋体" w:hAnsi="宋体" w:cs="宋体"/>
          <w:b/>
          <w:bCs/>
          <w:color w:val="auto"/>
          <w:kern w:val="2"/>
          <w:highlight w:val="none"/>
        </w:rPr>
        <w:t>日10时00分</w:t>
      </w:r>
      <w:r>
        <w:rPr>
          <w:rFonts w:hint="eastAsia" w:ascii="宋体" w:hAnsi="宋体" w:cs="宋体"/>
          <w:color w:val="auto"/>
          <w:kern w:val="2"/>
          <w:highlight w:val="none"/>
        </w:rPr>
        <w:t>（北京时间）</w:t>
      </w:r>
    </w:p>
    <w:p w14:paraId="7E9E6E61">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投标截止地点：广西柳州市北雀路117号金融综合楼4楼</w:t>
      </w:r>
      <w:r>
        <w:rPr>
          <w:rFonts w:hint="eastAsia" w:ascii="宋体" w:hAnsi="宋体" w:cs="宋体"/>
          <w:color w:val="auto"/>
          <w:highlight w:val="none"/>
          <w:lang w:eastAsia="zh-CN"/>
        </w:rPr>
        <w:t>（</w:t>
      </w:r>
      <w:r>
        <w:rPr>
          <w:rFonts w:hint="eastAsia" w:ascii="宋体" w:hAnsi="宋体" w:cs="宋体"/>
          <w:color w:val="auto"/>
          <w:highlight w:val="none"/>
          <w:lang w:val="en-US" w:eastAsia="zh-CN"/>
        </w:rPr>
        <w:t>413</w:t>
      </w:r>
      <w:r>
        <w:rPr>
          <w:rFonts w:hint="eastAsia" w:ascii="宋体" w:hAnsi="宋体" w:cs="宋体"/>
          <w:color w:val="auto"/>
          <w:highlight w:val="none"/>
          <w:lang w:eastAsia="zh-CN"/>
        </w:rPr>
        <w:t>）</w:t>
      </w:r>
      <w:r>
        <w:rPr>
          <w:rFonts w:hint="eastAsia" w:ascii="宋体" w:hAnsi="宋体" w:eastAsia="宋体" w:cs="宋体"/>
          <w:color w:val="auto"/>
          <w:highlight w:val="none"/>
        </w:rPr>
        <w:t>开标室</w:t>
      </w:r>
      <w:r>
        <w:rPr>
          <w:rFonts w:hint="eastAsia" w:ascii="宋体" w:hAnsi="宋体" w:cs="宋体"/>
          <w:color w:val="auto"/>
          <w:highlight w:val="none"/>
          <w:lang w:val="en-US" w:eastAsia="zh-CN"/>
        </w:rPr>
        <w:t>2</w:t>
      </w:r>
    </w:p>
    <w:p w14:paraId="403F9F69">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投标文件递交方式：投标人应于投标截止时间前将投标文件密封，授权代表亲自送达或邮寄至投标截止地点，发送快递时请注明内容为“</w:t>
      </w:r>
      <w:r>
        <w:rPr>
          <w:rFonts w:hint="eastAsia" w:ascii="宋体" w:hAnsi="宋体" w:cs="宋体"/>
          <w:b/>
          <w:bCs/>
          <w:color w:val="auto"/>
          <w:highlight w:val="none"/>
          <w:lang w:val="en-US" w:eastAsia="zh-CN"/>
        </w:rPr>
        <w:t>2025年二焦产线技改项目—冷却塔安全节能改造工程</w:t>
      </w:r>
      <w:r>
        <w:rPr>
          <w:rFonts w:hint="eastAsia" w:ascii="宋体" w:hAnsi="宋体" w:cs="宋体"/>
          <w:b/>
          <w:bCs/>
          <w:color w:val="auto"/>
          <w:kern w:val="2"/>
          <w:highlight w:val="none"/>
        </w:rPr>
        <w:t>-投标文件</w:t>
      </w:r>
      <w:r>
        <w:rPr>
          <w:rFonts w:hint="eastAsia" w:ascii="宋体" w:hAnsi="宋体" w:eastAsia="宋体" w:cs="宋体"/>
          <w:color w:val="auto"/>
          <w:highlight w:val="none"/>
        </w:rPr>
        <w:t>”。投标人应合理估计邮寄时间以确保按时寄达，逾期送达（以签收时间为准）的纸质版文件将予以拒收。本项目不接受传真、电子邮件方式送达的投标文件。</w:t>
      </w:r>
    </w:p>
    <w:p w14:paraId="7563DCFC">
      <w:pPr>
        <w:keepNext w:val="0"/>
        <w:keepLines w:val="0"/>
        <w:pageBreakBefore w:val="0"/>
        <w:widowControl w:val="0"/>
        <w:kinsoku/>
        <w:wordWrap/>
        <w:overflowPunct/>
        <w:topLinePunct w:val="0"/>
        <w:autoSpaceDE/>
        <w:autoSpaceDN/>
        <w:bidi w:val="0"/>
        <w:adjustRightInd/>
        <w:snapToGrid/>
        <w:spacing w:before="20" w:after="20" w:line="360" w:lineRule="exact"/>
        <w:textAlignment w:val="auto"/>
        <w:outlineLvl w:val="1"/>
        <w:rPr>
          <w:rFonts w:hint="eastAsia" w:ascii="宋体" w:hAnsi="宋体" w:eastAsia="宋体" w:cs="宋体"/>
          <w:b/>
          <w:bCs/>
          <w:color w:val="auto"/>
          <w:highlight w:val="none"/>
        </w:rPr>
      </w:pPr>
      <w:r>
        <w:rPr>
          <w:rFonts w:hint="eastAsia" w:ascii="宋体" w:hAnsi="宋体" w:eastAsia="宋体" w:cs="宋体"/>
          <w:b/>
          <w:bCs/>
          <w:color w:val="auto"/>
          <w:highlight w:val="none"/>
        </w:rPr>
        <w:t>6、发布公告的媒介</w:t>
      </w:r>
    </w:p>
    <w:p w14:paraId="2B1A9F57">
      <w:pPr>
        <w:keepNext w:val="0"/>
        <w:keepLines w:val="0"/>
        <w:pageBreakBefore w:val="0"/>
        <w:widowControl w:val="0"/>
        <w:numPr>
          <w:ilvl w:val="0"/>
          <w:numId w:val="0"/>
        </w:numPr>
        <w:kinsoku/>
        <w:wordWrap w:val="0"/>
        <w:overflowPunct/>
        <w:topLinePunct w:val="0"/>
        <w:autoSpaceDE/>
        <w:autoSpaceDN/>
        <w:bidi w:val="0"/>
        <w:adjustRightInd/>
        <w:snapToGrid/>
        <w:ind w:leftChars="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Hans"/>
        </w:rPr>
        <w:t>本次招标公告同时在中国招投标公共服务平台网（http://www.cebpubservice.com/）、广西壮族自治区招标投标公共服务平台（http://zbtb.gxi.gov.cn:9000/）、广西阳光采购服务平台（https://gxygcg.ejy365.com/#/index）、柳钢招标平台（https://erpapp.liuzhousteel.com:12442/#/index）</w:t>
      </w:r>
      <w:r>
        <w:rPr>
          <w:rFonts w:hint="eastAsia" w:ascii="宋体" w:hAnsi="宋体" w:eastAsia="宋体" w:cs="宋体"/>
          <w:color w:val="auto"/>
          <w:highlight w:val="none"/>
        </w:rPr>
        <w:t>、</w:t>
      </w:r>
      <w:r>
        <w:rPr>
          <w:rFonts w:hint="eastAsia" w:ascii="宋体" w:hAnsi="宋体" w:eastAsia="宋体" w:cs="宋体"/>
          <w:color w:val="auto"/>
          <w:highlight w:val="none"/>
          <w:lang w:eastAsia="zh-Hans"/>
        </w:rPr>
        <w:t>广西科联招标采购服务平台（https://gnkl.zcjb.com.cn/）网上发布</w:t>
      </w:r>
      <w:r>
        <w:rPr>
          <w:rFonts w:hint="eastAsia" w:ascii="宋体" w:hAnsi="宋体" w:eastAsia="宋体" w:cs="宋体"/>
          <w:color w:val="auto"/>
          <w:highlight w:val="none"/>
        </w:rPr>
        <w:t>。</w:t>
      </w:r>
    </w:p>
    <w:p w14:paraId="3FCAC670">
      <w:pPr>
        <w:keepNext w:val="0"/>
        <w:keepLines w:val="0"/>
        <w:pageBreakBefore w:val="0"/>
        <w:widowControl w:val="0"/>
        <w:kinsoku/>
        <w:wordWrap/>
        <w:overflowPunct/>
        <w:topLinePunct w:val="0"/>
        <w:autoSpaceDE/>
        <w:autoSpaceDN/>
        <w:bidi w:val="0"/>
        <w:adjustRightInd/>
        <w:snapToGrid/>
        <w:spacing w:before="20" w:after="20" w:line="360" w:lineRule="exact"/>
        <w:textAlignment w:val="auto"/>
        <w:outlineLvl w:val="1"/>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联系方式</w:t>
      </w:r>
    </w:p>
    <w:tbl>
      <w:tblPr>
        <w:tblStyle w:val="2"/>
        <w:tblW w:w="8964" w:type="dxa"/>
        <w:tblInd w:w="0" w:type="dxa"/>
        <w:tblLayout w:type="fixed"/>
        <w:tblCellMar>
          <w:top w:w="0" w:type="dxa"/>
          <w:left w:w="108" w:type="dxa"/>
          <w:bottom w:w="0" w:type="dxa"/>
          <w:right w:w="108" w:type="dxa"/>
        </w:tblCellMar>
      </w:tblPr>
      <w:tblGrid>
        <w:gridCol w:w="4843"/>
        <w:gridCol w:w="4121"/>
      </w:tblGrid>
      <w:tr w14:paraId="4080869F">
        <w:tblPrEx>
          <w:tblCellMar>
            <w:top w:w="0" w:type="dxa"/>
            <w:left w:w="108" w:type="dxa"/>
            <w:bottom w:w="0" w:type="dxa"/>
            <w:right w:w="108" w:type="dxa"/>
          </w:tblCellMar>
        </w:tblPrEx>
        <w:trPr>
          <w:trHeight w:val="1428" w:hRule="atLeast"/>
        </w:trPr>
        <w:tc>
          <w:tcPr>
            <w:tcW w:w="4843" w:type="dxa"/>
          </w:tcPr>
          <w:p w14:paraId="6D7D5941">
            <w:pPr>
              <w:spacing w:line="312" w:lineRule="auto"/>
              <w:rPr>
                <w:rFonts w:ascii="宋体" w:hAnsi="宋体" w:cs="宋体"/>
                <w:color w:val="auto"/>
                <w:szCs w:val="21"/>
                <w:highlight w:val="none"/>
              </w:rPr>
            </w:pPr>
            <w:r>
              <w:rPr>
                <w:rFonts w:ascii="宋体" w:hAnsi="宋体" w:cs="宋体"/>
                <w:color w:val="auto"/>
                <w:szCs w:val="21"/>
                <w:highlight w:val="none"/>
              </w:rPr>
              <w:t>招标代理机构：广西科联招标中心有限公司</w:t>
            </w:r>
          </w:p>
          <w:p w14:paraId="03BF33BE">
            <w:pPr>
              <w:spacing w:line="312" w:lineRule="auto"/>
              <w:rPr>
                <w:rFonts w:ascii="宋体" w:hAnsi="宋体" w:cs="宋体"/>
                <w:color w:val="auto"/>
                <w:szCs w:val="21"/>
                <w:highlight w:val="none"/>
              </w:rPr>
            </w:pPr>
            <w:r>
              <w:rPr>
                <w:rFonts w:ascii="宋体" w:hAnsi="宋体" w:cs="宋体"/>
                <w:color w:val="auto"/>
                <w:szCs w:val="21"/>
                <w:highlight w:val="none"/>
              </w:rPr>
              <w:t>地址：柳州市东环大道256号万达中心13-22</w:t>
            </w:r>
          </w:p>
          <w:p w14:paraId="7CFA8503">
            <w:pPr>
              <w:spacing w:line="312" w:lineRule="auto"/>
              <w:rPr>
                <w:rFonts w:ascii="宋体" w:hAnsi="宋体" w:cs="宋体"/>
                <w:color w:val="auto"/>
                <w:szCs w:val="21"/>
                <w:highlight w:val="none"/>
              </w:rPr>
            </w:pPr>
            <w:r>
              <w:rPr>
                <w:rFonts w:ascii="宋体" w:hAnsi="宋体" w:cs="宋体"/>
                <w:color w:val="auto"/>
                <w:szCs w:val="21"/>
                <w:highlight w:val="none"/>
              </w:rPr>
              <w:t>电话：0772-2995575/13367727160</w:t>
            </w:r>
          </w:p>
          <w:p w14:paraId="0CB13A99">
            <w:pPr>
              <w:spacing w:line="312" w:lineRule="auto"/>
              <w:rPr>
                <w:rFonts w:ascii="宋体" w:hAnsi="宋体" w:cs="宋体"/>
                <w:color w:val="auto"/>
                <w:szCs w:val="21"/>
                <w:highlight w:val="none"/>
              </w:rPr>
            </w:pPr>
            <w:r>
              <w:rPr>
                <w:rFonts w:ascii="宋体" w:hAnsi="宋体" w:cs="宋体"/>
                <w:color w:val="auto"/>
                <w:szCs w:val="21"/>
                <w:highlight w:val="none"/>
              </w:rPr>
              <w:t>项目咨询联系人：韦海波</w:t>
            </w:r>
            <w:r>
              <w:rPr>
                <w:rFonts w:hint="eastAsia" w:ascii="宋体" w:hAnsi="宋体" w:cs="宋体"/>
                <w:color w:val="auto"/>
                <w:szCs w:val="21"/>
                <w:highlight w:val="none"/>
              </w:rPr>
              <w:t>/罗苏燕</w:t>
            </w:r>
          </w:p>
          <w:p w14:paraId="61DC8529">
            <w:pPr>
              <w:spacing w:line="312" w:lineRule="auto"/>
              <w:rPr>
                <w:rFonts w:ascii="宋体" w:hAnsi="宋体" w:cs="宋体"/>
                <w:color w:val="auto"/>
                <w:szCs w:val="21"/>
                <w:highlight w:val="none"/>
              </w:rPr>
            </w:pPr>
            <w:r>
              <w:rPr>
                <w:rFonts w:ascii="宋体" w:hAnsi="宋体" w:cs="宋体"/>
                <w:color w:val="auto"/>
                <w:szCs w:val="21"/>
                <w:highlight w:val="none"/>
              </w:rPr>
              <w:t>电子邮件：KL0772@126.COM</w:t>
            </w:r>
          </w:p>
        </w:tc>
        <w:tc>
          <w:tcPr>
            <w:tcW w:w="4121" w:type="dxa"/>
          </w:tcPr>
          <w:p w14:paraId="50AB7B9D">
            <w:pPr>
              <w:spacing w:line="312" w:lineRule="auto"/>
              <w:rPr>
                <w:rFonts w:ascii="宋体" w:hAnsi="宋体" w:cs="宋体"/>
                <w:color w:val="auto"/>
                <w:szCs w:val="21"/>
                <w:highlight w:val="none"/>
              </w:rPr>
            </w:pPr>
            <w:r>
              <w:rPr>
                <w:rFonts w:ascii="宋体" w:hAnsi="宋体" w:cs="宋体"/>
                <w:color w:val="auto"/>
                <w:szCs w:val="21"/>
                <w:highlight w:val="none"/>
              </w:rPr>
              <w:t>招标人：</w:t>
            </w:r>
            <w:r>
              <w:rPr>
                <w:rFonts w:hint="eastAsia" w:ascii="宋体" w:hAnsi="宋体" w:cs="宋体"/>
                <w:color w:val="auto"/>
                <w:szCs w:val="21"/>
                <w:highlight w:val="none"/>
              </w:rPr>
              <w:t>柳州钢铁股份有限公司</w:t>
            </w:r>
          </w:p>
          <w:p w14:paraId="09C880F8">
            <w:pPr>
              <w:spacing w:line="312" w:lineRule="auto"/>
              <w:rPr>
                <w:rFonts w:ascii="宋体" w:hAnsi="宋体" w:cs="宋体"/>
                <w:color w:val="auto"/>
                <w:szCs w:val="21"/>
                <w:highlight w:val="none"/>
              </w:rPr>
            </w:pPr>
            <w:r>
              <w:rPr>
                <w:rFonts w:ascii="宋体" w:hAnsi="宋体" w:cs="宋体"/>
                <w:color w:val="auto"/>
                <w:szCs w:val="21"/>
                <w:highlight w:val="none"/>
              </w:rPr>
              <w:t>地址：广西柳州市北雀路117号</w:t>
            </w:r>
          </w:p>
          <w:p w14:paraId="4647AE12">
            <w:pPr>
              <w:spacing w:line="312" w:lineRule="auto"/>
              <w:rPr>
                <w:rFonts w:ascii="宋体" w:hAnsi="宋体" w:cs="宋体"/>
                <w:color w:val="auto"/>
                <w:szCs w:val="21"/>
                <w:highlight w:val="none"/>
              </w:rPr>
            </w:pPr>
            <w:r>
              <w:rPr>
                <w:rFonts w:ascii="宋体" w:hAnsi="宋体" w:cs="宋体"/>
                <w:color w:val="auto"/>
                <w:szCs w:val="21"/>
                <w:highlight w:val="none"/>
              </w:rPr>
              <w:t>联系人：尹工</w:t>
            </w:r>
          </w:p>
          <w:p w14:paraId="00EC57F5">
            <w:pPr>
              <w:spacing w:line="312" w:lineRule="auto"/>
              <w:rPr>
                <w:rFonts w:ascii="宋体" w:hAnsi="宋体" w:cs="宋体"/>
                <w:color w:val="auto"/>
                <w:szCs w:val="21"/>
                <w:highlight w:val="none"/>
              </w:rPr>
            </w:pPr>
            <w:r>
              <w:rPr>
                <w:rFonts w:ascii="宋体" w:hAnsi="宋体" w:cs="宋体"/>
                <w:color w:val="auto"/>
                <w:szCs w:val="21"/>
                <w:highlight w:val="none"/>
              </w:rPr>
              <w:t>电话：0772-2595995</w:t>
            </w:r>
          </w:p>
        </w:tc>
      </w:tr>
    </w:tbl>
    <w:p w14:paraId="0396CDE5">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Fonts w:hint="eastAsia" w:ascii="宋体" w:hAnsi="宋体" w:eastAsia="宋体" w:cs="宋体"/>
          <w:color w:val="auto"/>
          <w:highlight w:val="none"/>
        </w:rPr>
      </w:pPr>
      <w:r>
        <w:rPr>
          <w:rFonts w:hint="eastAsia" w:ascii="宋体" w:hAnsi="宋体" w:cs="宋体"/>
          <w:color w:val="auto"/>
          <w:kern w:val="2"/>
          <w:highlight w:val="none"/>
        </w:rPr>
        <w:t>2025年</w:t>
      </w:r>
      <w:r>
        <w:rPr>
          <w:rFonts w:hint="eastAsia" w:ascii="宋体" w:hAnsi="宋体" w:cs="宋体"/>
          <w:color w:val="auto"/>
          <w:kern w:val="2"/>
          <w:highlight w:val="none"/>
          <w:lang w:val="en-US" w:eastAsia="zh-CN"/>
          <w:woUserID w:val="1"/>
        </w:rPr>
        <w:t>12</w:t>
      </w:r>
      <w:r>
        <w:rPr>
          <w:rFonts w:hint="eastAsia" w:ascii="宋体" w:hAnsi="宋体" w:cs="宋体"/>
          <w:color w:val="auto"/>
          <w:kern w:val="2"/>
          <w:highlight w:val="none"/>
        </w:rPr>
        <w:t>月</w:t>
      </w:r>
      <w:r>
        <w:rPr>
          <w:rFonts w:hint="eastAsia" w:ascii="宋体" w:hAnsi="宋体" w:cs="宋体"/>
          <w:color w:val="auto"/>
          <w:kern w:val="2"/>
          <w:highlight w:val="none"/>
          <w:lang w:val="en-US" w:eastAsia="zh-CN"/>
        </w:rPr>
        <w:t>1</w:t>
      </w:r>
      <w:r>
        <w:rPr>
          <w:rFonts w:hint="eastAsia" w:ascii="宋体" w:hAnsi="宋体" w:cs="宋体"/>
          <w:color w:val="auto"/>
          <w:kern w:val="2"/>
          <w:highlight w:val="none"/>
        </w:rPr>
        <w:t>日</w:t>
      </w:r>
    </w:p>
    <w:p w14:paraId="7ABDF85E">
      <w:pPr>
        <w:rPr>
          <w:color w:val="auto"/>
          <w:highlight w:val="none"/>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EF08F0"/>
    <w:rsid w:val="115B06EA"/>
    <w:rsid w:val="315D3AC4"/>
    <w:rsid w:val="34371239"/>
    <w:rsid w:val="42864D18"/>
    <w:rsid w:val="57265675"/>
    <w:rsid w:val="79EF08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qFormat/>
    <w:uiPriority w:val="99"/>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505a74f4-d86e-42fa-8da9-21d731cc2d2f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1BDDA013</paraID>
      <start>0</start>
      <end>2</end>
      <status>ignored</status>
      <modifiedWord/>
      <trackRevisions>false</trackRevisions>
    </reviewItem>
    <reviewItem>
      <errorID>96884315-f0dd-4bed-bf7b-20f753719872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D20BFAA</paraID>
      <start>0</start>
      <end>2</end>
      <status>ignored</status>
      <modifiedWord/>
      <trackRevisions>false</trackRevisions>
    </reviewItem>
    <reviewItem>
      <errorID>1f1aaaad-164c-4285-99a7-1656fff419d0</errorID>
      <errorWord>（</errorWord>
      <group>L1_Punc</group>
      <groupName>标点问题</groupName>
      <ability>L2_Punc</ability>
      <abilityName>标点符号检查</abilityName>
      <candidateList/>
      <explain>同一形式括号套用。</explain>
      <paraID>5C3527FD</paraID>
      <start>111</start>
      <end>112</end>
      <status>ignored</status>
      <modifiedWord/>
      <trackRevisions>false</trackRevisions>
    </reviewItem>
    <reviewItem>
      <errorID>94756943-0804-4035-9008-588ee681be98</errorID>
      <errorWord>）</errorWord>
      <group>L1_Punc</group>
      <groupName>标点问题</groupName>
      <ability>L2_Punc</ability>
      <abilityName>标点符号检查</abilityName>
      <candidateList/>
      <explain>同一形式括号套用。</explain>
      <paraID>5C3527FD</paraID>
      <start>114</start>
      <end>115</end>
      <status>ignored</status>
      <modifiedWord/>
      <trackRevisions>false</trackRevisions>
    </reviewItem>
    <reviewItem>
      <errorID>09354399-a7c9-4de9-b4f9-f1eebc1e9862</errorID>
      <errorWord>，在</errorWord>
      <group>L1_Word</group>
      <groupName>字词问题</groupName>
      <ability>L2_Typo</ability>
      <abilityName>字词错误</abilityName>
      <candidateList>
        <item>，</item>
      </candidateList>
      <explain/>
      <paraID>3C29C3F0</paraID>
      <start>27</start>
      <end>29</end>
      <status>ignored</status>
      <modifiedWord/>
      <trackRevisions>false</trackRevisions>
    </reviewItem>
    <reviewItem>
      <errorID>e1ed34d6-82e2-44cf-b837-8320c693134c</errorID>
      <errorWord>确保以</errorWord>
      <group>L1_Word</group>
      <groupName>字词问题</groupName>
      <ability>L2_Typo</ability>
      <abilityName>字词错误</abilityName>
      <candidateList>
        <item>确保</item>
      </candidateList>
      <explain>〈动〉确实地保持或保证：～交通畅通｜加强田间管理，～粮食丰收。</explain>
      <paraID>3C29C3F0</paraID>
      <start>209</start>
      <end>212</end>
      <status>ignored</status>
      <modifiedWord/>
      <trackRevisions>false</trackRevisions>
    </reviewItem>
    <reviewItem>
      <errorID>5f0f6171-f5f3-4942-aa2e-d197bcaa532d</errorID>
      <errorWord>KW</errorWord>
      <group>L1_Word</group>
      <groupName>字词问题</groupName>
      <ability>L2_Typo</ability>
      <abilityName>字词错误</abilityName>
      <candidateList>
        <item>kW</item>
      </candidateList>
      <explain/>
      <paraID>6582EAAB</paraID>
      <start>18</start>
      <end>20</end>
      <status>ignored</status>
      <modifiedWord/>
      <trackRevisions>false</trackRevisions>
    </reviewItem>
    <reviewItem>
      <errorID>efe6ffba-14da-4fc1-8d36-83565a1a3538</errorID>
      <errorWord>KW</errorWord>
      <group>L1_Word</group>
      <groupName>字词问题</groupName>
      <ability>L2_Typo</ability>
      <abilityName>字词错误</abilityName>
      <candidateList>
        <item>kW</item>
      </candidateList>
      <explain/>
      <paraID>6582EAAB</paraID>
      <start>32</start>
      <end>34</end>
      <status>ignored</status>
      <modifiedWord/>
      <trackRevisions>false</trackRevisions>
    </reviewItem>
    <reviewItem>
      <errorID>47f97a34-dcb4-438b-914f-1325993991ed</errorID>
      <errorWord>KW</errorWord>
      <group>L1_Word</group>
      <groupName>字词问题</groupName>
      <ability>L2_Typo</ability>
      <abilityName>字词错误</abilityName>
      <candidateList>
        <item>kW</item>
      </candidateList>
      <explain/>
      <paraID>6582EAAB</paraID>
      <start>46</start>
      <end>48</end>
      <status>ignored</status>
      <modifiedWord/>
      <trackRevisions>false</trackRevisions>
    </reviewItem>
    <reviewItem>
      <errorID>7ecedc90-261b-48fd-abca-4a4a7264e1e0</errorID>
      <errorWord>KW</errorWord>
      <group>L1_Word</group>
      <groupName>字词问题</groupName>
      <ability>L2_Typo</ability>
      <abilityName>字词错误</abilityName>
      <candidateList>
        <item>kW</item>
      </candidateList>
      <explain/>
      <paraID>6582EAAB</paraID>
      <start>60</start>
      <end>62</end>
      <status>ignored</status>
      <modifiedWord/>
      <trackRevisions>false</trackRevisions>
    </reviewItem>
    <reviewItem>
      <errorID>eaa9f895-a0bb-4333-b2be-f8d3589b573a</errorID>
      <errorWord>Kw</errorWord>
      <group>L1_Word</group>
      <groupName>字词问题</groupName>
      <ability>L2_Typo</ability>
      <abilityName>字词错误</abilityName>
      <candidateList>
        <item>kW</item>
      </candidateList>
      <explain/>
      <paraID>5726E673</paraID>
      <start>2</start>
      <end>4</end>
      <status>ignored</status>
      <modifiedWord/>
      <trackRevisions>false</trackRevisions>
    </reviewItem>
    <reviewItem>
      <errorID>155f641a-e51d-4c9a-88b6-ca37221ed9d0</errorID>
      <errorWord>Kw</errorWord>
      <group>L1_Word</group>
      <groupName>字词问题</groupName>
      <ability>L2_Typo</ability>
      <abilityName>字词错误</abilityName>
      <candidateList>
        <item>kW</item>
      </candidateList>
      <explain/>
      <paraID>5726E673</paraID>
      <start>7</start>
      <end>9</end>
      <status>ignored</status>
      <modifiedWord/>
      <trackRevisions>false</trackRevisions>
    </reviewItem>
    <reviewItem>
      <errorID>ee5401ca-5997-4dd1-ba3d-55d95e265ff5</errorID>
      <errorWord>Kw</errorWord>
      <group>L1_Word</group>
      <groupName>字词问题</groupName>
      <ability>L2_Typo</ability>
      <abilityName>字词错误</abilityName>
      <candidateList>
        <item>kW</item>
      </candidateList>
      <explain/>
      <paraID>65E75457</paraID>
      <start>2</start>
      <end>4</end>
      <status>ignored</status>
      <modifiedWord/>
      <trackRevisions>false</trackRevisions>
    </reviewItem>
    <reviewItem>
      <errorID>4e91e44f-8938-4b68-9d88-6b8216dcde09</errorID>
      <errorWord>Kw</errorWord>
      <group>L1_Word</group>
      <groupName>字词问题</groupName>
      <ability>L2_Typo</ability>
      <abilityName>字词错误</abilityName>
      <candidateList>
        <item>kW</item>
      </candidateList>
      <explain/>
      <paraID>65E75457</paraID>
      <start>8</start>
      <end>10</end>
      <status>ignored</status>
      <modifiedWord/>
      <trackRevisions>false</trackRevisions>
    </reviewItem>
    <reviewItem>
      <errorID>bbb96316-8dab-4f4c-aece-6b5c4fc0f21d</errorID>
      <errorWord>电气元件</errorWord>
      <group>L1_Word</group>
      <groupName>字词问题</groupName>
      <ability>L2_Typo</ability>
      <abilityName>字词错误</abilityName>
      <candidateList>
        <item>电器元件</item>
      </candidateList>
      <explain>存在发音相同字词的误用。</explain>
      <paraID>65E75457</paraID>
      <start>21</start>
      <end>25</end>
      <status>ignored</status>
      <modifiedWord/>
      <trackRevisions>false</trackRevisions>
    </reviewItem>
    <reviewItem>
      <errorID>c57e19cb-740a-4496-b23c-f9d781699612</errorID>
      <errorWord>维护</errorWord>
      <group>L1_Word</group>
      <groupName>字词问题</groupName>
      <ability>L2_Typo</ability>
      <abilityName>字词错误</abilityName>
      <candidateList>
        <item>围护</item>
      </candidateList>
      <explain/>
      <paraID>71D3C772</paraID>
      <start>53</start>
      <end>55</end>
      <status>ignored</status>
      <modifiedWord/>
      <trackRevisions>false</trackRevisions>
    </reviewItem>
    <reviewItem>
      <errorID>99053633-db98-4d35-a706-638a88ffa457</errorID>
      <errorWord>开水运行</errorWord>
      <group>L1_Word</group>
      <groupName>字词问题</groupName>
      <ability>L2_Typo</ability>
      <abilityName>字词错误</abilityName>
      <candidateList>
        <item>开始运行</item>
      </candidateList>
      <explain/>
      <paraID>68422A3A</paraID>
      <start>134</start>
      <end>138</end>
      <status>ignored</status>
      <modifiedWord/>
      <trackRevisions>false</trackRevisions>
    </reviewItem>
    <reviewItem>
      <errorID>36b28b03-b75b-4ac1-8333-9b33b80e6753</errorID>
      <errorWord>接受点</errorWord>
      <group>L1_Word</group>
      <groupName>字词问题</groupName>
      <ability>L2_Typo</ability>
      <abilityName>字词错误</abilityName>
      <candidateList>
        <item>接收点</item>
      </candidateList>
      <explain>存在发音相同字词的误用。</explain>
      <paraID>6DD1D744</paraID>
      <start>89</start>
      <end>92</end>
      <status>ignored</status>
      <modifiedWord/>
      <trackRevisions>false</trackRevisions>
    </reviewItem>
    <reviewItem>
      <errorID>3d2aeaf2-ef90-4a14-a92e-3d537b9c3eba</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59FCC2BB</paraID>
      <start>132</start>
      <end>136</end>
      <status>ignored</status>
      <modifiedWord/>
      <trackRevisions>false</trackRevisions>
    </reviewItem>
    <reviewItem>
      <errorID>a4869f89-7afc-445a-b493-0913ddca8f0c</errorID>
      <errorWord>(</errorWord>
      <group>L1_Format</group>
      <groupName>格式问题</groupName>
      <ability>L2_HalfPunc</ability>
      <abilityName>全半角检查</abilityName>
      <candidateList>
        <item>（</item>
      </candidateList>
      <explain>文本全半角错误。</explain>
      <paraID>1AB4CD45</paraID>
      <start>49</start>
      <end>50</end>
      <status>ignored</status>
      <modifiedWord/>
      <trackRevisions>false</trackRevisions>
    </reviewItem>
    <reviewItem>
      <errorID>90f794f9-469f-43af-8352-f02731e3e744</errorID>
      <errorWord>),</errorWord>
      <group>L1_Format</group>
      <groupName>格式问题</groupName>
      <ability>L2_HalfPunc</ability>
      <abilityName>全半角检查</abilityName>
      <candidateList>
        <item>），</item>
      </candidateList>
      <explain>文本全半角错误。</explain>
      <paraID>1AB4CD45</paraID>
      <start>98</start>
      <end>100</end>
      <status>ignored</status>
      <modifiedWord/>
      <trackRevisions>false</trackRevisions>
    </reviewItem>
    <reviewItem>
      <errorID>7dcae33f-e7cb-437f-b65e-73da6bc9a8ea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42BDE79</paraID>
      <start>0</start>
      <end>2</end>
      <status>ignored</status>
      <modifiedWord/>
      <trackRevisions>false</trackRevisions>
    </reviewItem>
    <reviewItem>
      <errorID>d05793a0-1b78-45c3-a9a3-9a36b6855efb</errorID>
      <errorWord>[2020]94号</errorWord>
      <group>L1_Knowledge</group>
      <groupName>知识性问题</groupName>
      <ability>L2_Knowledge</ability>
      <abilityName>其他知识</abilityName>
      <candidateList>
        <item>〔2020〕94号</item>
      </candidateList>
      <explain>发文字号格式错误。</explain>
      <paraID>430F6F9E</paraID>
      <start>36</start>
      <end>45</end>
      <status>ignored</status>
      <modifiedWord/>
      <trackRevisions>false</trackRevisions>
    </reviewItem>
    <reviewItem>
      <errorID>78cae85d-8dc8-4afd-bc5f-e5b38ff47869</errorID>
      <errorWord>(</errorWord>
      <group>L1_Format</group>
      <groupName>格式问题</groupName>
      <ability>L2_HalfPunc</ability>
      <abilityName>全半角检查</abilityName>
      <candidateList>
        <item>（</item>
      </candidateList>
      <explain>文本全半角错误。</explain>
      <paraID>2C49648E</paraID>
      <start>58</start>
      <end>59</end>
      <status>ignored</status>
      <modifiedWord/>
      <trackRevisions>false</trackRevisions>
    </reviewItem>
    <reviewItem>
      <errorID>bde42381-bbe0-48c7-8a99-4ef8aceb492f</errorID>
      <errorWord>)</errorWord>
      <group>L1_Format</group>
      <groupName>格式问题</groupName>
      <ability>L2_HalfPunc</ability>
      <abilityName>全半角检查</abilityName>
      <candidateList>
        <item>）</item>
      </candidateList>
      <explain>文本全半角错误。</explain>
      <paraID>2C49648E</paraID>
      <start>116</start>
      <end>117</end>
      <status>ignored</status>
      <modifiedWord/>
      <trackRevisions>false</trackRevisions>
    </reviewItem>
    <reviewItem>
      <errorID>183c2aa6-0d7e-489e-a63b-3ba1567802a3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18EDF847</paraID>
      <start>24</start>
      <end>27</end>
      <status>ignored</status>
      <modifiedWord/>
      <trackRevisions>false</trackRevisions>
    </reviewItem>
    <reviewItem>
      <errorID>c2df2e5b-8983-4bb1-be54-b817f1b82772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6800D714</paraID>
      <start>0</start>
      <end>2</end>
      <status>ignored</status>
      <modifiedWord/>
      <trackRevisions>false</trackRevisions>
    </reviewItem>
    <reviewItem>
      <errorID>a0455d2e-7c0f-433f-a488-1c3d33e5b7de</errorID>
      <errorWord>下午15时00</errorWord>
      <group>L1_Knowledge</group>
      <groupName>知识性问题</groupName>
      <ability>L2_Time</ability>
      <abilityName>日期时间</abilityName>
      <candidateList>
        <item>15时00</item>
      </candidateList>
      <explain>24小时制的时间，不需要强调“下午”。</explain>
      <paraID> 56A5E51</paraID>
      <start>66</start>
      <end>73</end>
      <status>ignored</status>
      <modifiedWord/>
      <trackRevisions>false</trackRevisions>
    </reviewItem>
    <reviewItem>
      <errorID>e4664fd1-b842-468e-8423-5e812cf8760a</errorID>
      <errorWord>(</errorWord>
      <group>L1_Format</group>
      <groupName>格式问题</groupName>
      <ability>L2_HalfPunc</ability>
      <abilityName>全半角检查</abilityName>
      <candidateList>
        <item>（</item>
      </candidateList>
      <explain>文本全半角错误。</explain>
      <paraID>6ABA5B3C</paraID>
      <start>18</start>
      <end>19</end>
      <status>ignored</status>
      <modifiedWord/>
      <trackRevisions>false</trackRevisions>
    </reviewItem>
    <reviewItem>
      <errorID>891dbe63-93e9-4224-88e1-cc3dd61ad032</errorID>
      <errorWord>)</errorWord>
      <group>L1_Format</group>
      <groupName>格式问题</groupName>
      <ability>L2_HalfPunc</ability>
      <abilityName>全半角检查</abilityName>
      <candidateList>
        <item>）</item>
      </candidateList>
      <explain>文本全半角错误。</explain>
      <paraID>6ABA5B3C</paraID>
      <start>59</start>
      <end>60</end>
      <status>ignored</status>
      <modifiedWord/>
      <trackRevisions>false</trackRevisions>
    </reviewItem>
    <reviewItem>
      <errorID>b4da1213-8cc5-49a8-b796-f47d4fd406d3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1B971E49</paraID>
      <start>0</start>
      <end>2</end>
      <status>ignored</status>
      <modifiedWord/>
      <trackRevisions>false</trackRevisions>
    </reviewItem>
    <reviewItem>
      <errorID>7dad25fe-58de-4c0e-9952-c0dbc099d243</errorID>
      <errorWord>-</errorWord>
      <group>L1_Format</group>
      <groupName>格式问题</groupName>
      <ability>L2_HalfPunc</ability>
      <abilityName>全半角检查</abilityName>
      <candidateList>
        <item>－</item>
      </candidateList>
      <explain>文本全半角错误。</explain>
      <paraID>403F9F69</paraID>
      <start>85</start>
      <end>86</end>
      <status>ignored</status>
      <modifiedWord/>
      <trackRevisions>false</trackRevisions>
    </reviewItem>
    <reviewItem>
      <errorID>f1b93251-33e8-4b36-90d0-05b116c74cbc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7563DCFC</paraID>
      <start>0</start>
      <end>2</end>
      <status>ignored</status>
      <modifiedWord/>
      <trackRevisions>false</trackRevisions>
    </reviewItem>
    <reviewItem>
      <errorID>d0f96b36-a360-4101-bead-f73e322f9668</errorID>
      <errorWord>/）</errorWord>
      <group>L1_Punc</group>
      <groupName>标点问题</groupName>
      <ability>L2_Punc</ability>
      <abilityName>标点符号检查</abilityName>
      <candidateList>
        <item>）</item>
      </candidateList>
      <explain/>
      <paraID>2B1A9F57</paraID>
      <start>50</start>
      <end>52</end>
      <status>ignored</status>
      <modifiedWord/>
      <trackRevisions>false</trackRevisions>
    </reviewItem>
    <reviewItem>
      <errorID>ab88c771-7fd7-4be4-b025-3269402e5a21</errorID>
      <errorWord>/）</errorWord>
      <group>L1_Punc</group>
      <groupName>标点问题</groupName>
      <ability>L2_Punc</ability>
      <abilityName>标点符号检查</abilityName>
      <candidateList>
        <item>）</item>
      </candidateList>
      <explain/>
      <paraID>2B1A9F57</paraID>
      <start>98</start>
      <end>100</end>
      <status>ignored</status>
      <modifiedWord/>
      <trackRevisions>false</trackRevisions>
    </reviewItem>
    <reviewItem>
      <errorID>c05130c2-8397-4bcc-baf5-6da45f228f84</errorID>
      <errorWord>/）</errorWord>
      <group>L1_Punc</group>
      <groupName>标点问题</groupName>
      <ability>L2_Punc</ability>
      <abilityName>标点符号检查</abilityName>
      <candidateList>
        <item>）</item>
      </candidateList>
      <explain/>
      <paraID>2B1A9F57</paraID>
      <start>238</start>
      <end>240</end>
      <status>ignored</status>
      <modifiedWord/>
      <trackRevisions>false</trackRevisions>
    </reviewItem>
    <reviewItem>
      <errorID>31a043fb-039f-4eb8-9bca-0c840bd9539f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3FCAC670</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96809183-877a-4d9c-8631-1919959b4f67}">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33</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2025-12-01T02:04:00Z</dcterms:created>
  <dc:creator>WSZ</dc:creator>
  <cp:lastModifiedBy>WSZ</cp:lastModifiedBy>
  <cp:lastPrinted>2025-12-01T02:23:01Z</cp:lastPrinted>
  <dcterms:modified xsi:type="dcterms:W3CDTF">2025-12-01T02:44:52Z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A7CD9748FFCF40AF834AC010BD99AB97_11</vt:lpwstr>
  </property>
  <property fmtid="{D5CDD505-2E9C-101B-9397-08002B2CF9AE}" pid="4" name="KSOTemplateDocerSaveRecord">
    <vt:lpwstr>eyJoZGlkIjoiM2JlZTNhY2YwMDNiMjc5NzViMTY2ZDliNjhkNDEyMTMiLCJ1c2VySWQiOiIyNzgyMDc1NzIifQ==</vt:lpwstr>
  </property>
</Properties>
</file>